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1234" w:rsidRPr="00021234" w:rsidRDefault="00021234" w:rsidP="00021234">
      <w:pPr>
        <w:shd w:val="clear" w:color="auto" w:fill="FFFFFF"/>
        <w:spacing w:after="150" w:line="240" w:lineRule="auto"/>
        <w:jc w:val="center"/>
        <w:outlineLvl w:val="1"/>
        <w:rPr>
          <w:rFonts w:ascii="inherit" w:eastAsia="Times New Roman" w:hAnsi="inherit" w:cs="Arial"/>
          <w:color w:val="000000"/>
          <w:sz w:val="45"/>
          <w:szCs w:val="45"/>
          <w:lang w:eastAsia="es-CR"/>
        </w:rPr>
      </w:pPr>
      <w:r w:rsidRPr="00021234">
        <w:rPr>
          <w:rFonts w:ascii="inherit" w:eastAsia="Times New Roman" w:hAnsi="inherit" w:cs="Arial"/>
          <w:color w:val="000000"/>
          <w:sz w:val="45"/>
          <w:szCs w:val="45"/>
          <w:lang w:eastAsia="es-CR"/>
        </w:rPr>
        <w:t>Sala Constitucional</w:t>
      </w:r>
    </w:p>
    <w:p w:rsidR="00021234" w:rsidRPr="00021234" w:rsidRDefault="00021234" w:rsidP="00021234">
      <w:pPr>
        <w:shd w:val="clear" w:color="auto" w:fill="FFFFFF"/>
        <w:spacing w:line="240" w:lineRule="auto"/>
        <w:jc w:val="center"/>
        <w:rPr>
          <w:rFonts w:ascii="Arial" w:eastAsia="Times New Roman" w:hAnsi="Arial" w:cs="Arial"/>
          <w:color w:val="000000"/>
          <w:sz w:val="20"/>
          <w:szCs w:val="20"/>
          <w:lang w:eastAsia="es-CR"/>
        </w:rPr>
      </w:pPr>
      <w:r w:rsidRPr="00021234">
        <w:rPr>
          <w:rFonts w:ascii="Arial" w:eastAsia="Times New Roman" w:hAnsi="Arial" w:cs="Arial"/>
          <w:color w:val="000000"/>
          <w:sz w:val="20"/>
          <w:szCs w:val="20"/>
          <w:lang w:eastAsia="es-CR"/>
        </w:rPr>
        <w:t>Resolución Nº 04815 - 2015</w:t>
      </w:r>
    </w:p>
    <w:p w:rsidR="00021234" w:rsidRPr="00021234" w:rsidRDefault="00021234" w:rsidP="00021234">
      <w:pPr>
        <w:shd w:val="clear" w:color="auto" w:fill="FFFFFF"/>
        <w:spacing w:after="0" w:line="240" w:lineRule="auto"/>
        <w:ind w:left="60" w:right="60"/>
        <w:rPr>
          <w:rFonts w:ascii="Arial" w:eastAsia="Times New Roman" w:hAnsi="Arial" w:cs="Arial"/>
          <w:color w:val="000000"/>
          <w:sz w:val="20"/>
          <w:szCs w:val="20"/>
          <w:lang w:eastAsia="es-CR"/>
        </w:rPr>
      </w:pPr>
      <w:r w:rsidRPr="00021234">
        <w:rPr>
          <w:rFonts w:ascii="Arial" w:eastAsia="Times New Roman" w:hAnsi="Arial" w:cs="Arial"/>
          <w:b/>
          <w:bCs/>
          <w:color w:val="000000"/>
          <w:sz w:val="20"/>
          <w:szCs w:val="20"/>
          <w:lang w:eastAsia="es-CR"/>
        </w:rPr>
        <w:t>Fecha de la Resolución: </w:t>
      </w:r>
      <w:r w:rsidRPr="00021234">
        <w:rPr>
          <w:rFonts w:ascii="Arial" w:eastAsia="Times New Roman" w:hAnsi="Arial" w:cs="Arial"/>
          <w:color w:val="000000"/>
          <w:sz w:val="20"/>
          <w:szCs w:val="20"/>
          <w:lang w:eastAsia="es-CR"/>
        </w:rPr>
        <w:t>10 de Abril del 2015</w:t>
      </w:r>
    </w:p>
    <w:p w:rsidR="00021234" w:rsidRPr="00021234" w:rsidRDefault="00021234" w:rsidP="00021234">
      <w:pPr>
        <w:shd w:val="clear" w:color="auto" w:fill="FFFFFF"/>
        <w:spacing w:after="0" w:line="240" w:lineRule="auto"/>
        <w:ind w:left="60" w:right="60"/>
        <w:rPr>
          <w:rFonts w:ascii="Arial" w:eastAsia="Times New Roman" w:hAnsi="Arial" w:cs="Arial"/>
          <w:color w:val="000000"/>
          <w:sz w:val="20"/>
          <w:szCs w:val="20"/>
          <w:lang w:eastAsia="es-CR"/>
        </w:rPr>
      </w:pPr>
      <w:r w:rsidRPr="00021234">
        <w:rPr>
          <w:rFonts w:ascii="Arial" w:eastAsia="Times New Roman" w:hAnsi="Arial" w:cs="Arial"/>
          <w:b/>
          <w:bCs/>
          <w:color w:val="000000"/>
          <w:sz w:val="20"/>
          <w:szCs w:val="20"/>
          <w:lang w:eastAsia="es-CR"/>
        </w:rPr>
        <w:t>Expediente: </w:t>
      </w:r>
      <w:r w:rsidRPr="00021234">
        <w:rPr>
          <w:rFonts w:ascii="Arial" w:eastAsia="Times New Roman" w:hAnsi="Arial" w:cs="Arial"/>
          <w:color w:val="000000"/>
          <w:sz w:val="20"/>
          <w:szCs w:val="20"/>
          <w:lang w:eastAsia="es-CR"/>
        </w:rPr>
        <w:t>15-001183-0007-CO</w:t>
      </w:r>
    </w:p>
    <w:p w:rsidR="00021234" w:rsidRPr="00021234" w:rsidRDefault="00021234" w:rsidP="00021234">
      <w:pPr>
        <w:shd w:val="clear" w:color="auto" w:fill="FFFFFF"/>
        <w:spacing w:after="0" w:line="240" w:lineRule="auto"/>
        <w:ind w:left="60" w:right="60"/>
        <w:rPr>
          <w:rFonts w:ascii="Arial" w:eastAsia="Times New Roman" w:hAnsi="Arial" w:cs="Arial"/>
          <w:color w:val="000000"/>
          <w:sz w:val="20"/>
          <w:szCs w:val="20"/>
          <w:lang w:eastAsia="es-CR"/>
        </w:rPr>
      </w:pPr>
      <w:r w:rsidRPr="00021234">
        <w:rPr>
          <w:rFonts w:ascii="Arial" w:eastAsia="Times New Roman" w:hAnsi="Arial" w:cs="Arial"/>
          <w:b/>
          <w:bCs/>
          <w:color w:val="000000"/>
          <w:sz w:val="20"/>
          <w:szCs w:val="20"/>
          <w:lang w:eastAsia="es-CR"/>
        </w:rPr>
        <w:t>Redactado por: </w:t>
      </w:r>
      <w:r w:rsidRPr="00021234">
        <w:rPr>
          <w:rFonts w:ascii="Arial" w:eastAsia="Times New Roman" w:hAnsi="Arial" w:cs="Arial"/>
          <w:color w:val="000000"/>
          <w:sz w:val="20"/>
          <w:szCs w:val="20"/>
          <w:lang w:eastAsia="es-CR"/>
        </w:rPr>
        <w:t>Luis Fdo. Salazar Alvarado</w:t>
      </w:r>
    </w:p>
    <w:p w:rsidR="00021234" w:rsidRPr="00021234" w:rsidRDefault="00021234" w:rsidP="00021234">
      <w:pPr>
        <w:shd w:val="clear" w:color="auto" w:fill="FFFFFF"/>
        <w:spacing w:after="0" w:line="240" w:lineRule="auto"/>
        <w:ind w:left="60" w:right="60"/>
        <w:rPr>
          <w:rFonts w:ascii="Arial" w:eastAsia="Times New Roman" w:hAnsi="Arial" w:cs="Arial"/>
          <w:color w:val="000000"/>
          <w:sz w:val="20"/>
          <w:szCs w:val="20"/>
          <w:lang w:eastAsia="es-CR"/>
        </w:rPr>
      </w:pPr>
      <w:r w:rsidRPr="00021234">
        <w:rPr>
          <w:rFonts w:ascii="Arial" w:eastAsia="Times New Roman" w:hAnsi="Arial" w:cs="Arial"/>
          <w:b/>
          <w:bCs/>
          <w:color w:val="000000"/>
          <w:sz w:val="20"/>
          <w:szCs w:val="20"/>
          <w:lang w:eastAsia="es-CR"/>
        </w:rPr>
        <w:t>Clase de Asunto: </w:t>
      </w:r>
      <w:r w:rsidRPr="00021234">
        <w:rPr>
          <w:rFonts w:ascii="Arial" w:eastAsia="Times New Roman" w:hAnsi="Arial" w:cs="Arial"/>
          <w:color w:val="000000"/>
          <w:sz w:val="20"/>
          <w:szCs w:val="20"/>
          <w:lang w:eastAsia="es-CR"/>
        </w:rPr>
        <w:t>Recurso de amparo</w:t>
      </w:r>
    </w:p>
    <w:p w:rsidR="00021234" w:rsidRPr="00021234" w:rsidRDefault="00021234" w:rsidP="00021234">
      <w:pPr>
        <w:shd w:val="clear" w:color="auto" w:fill="FFFFFF"/>
        <w:spacing w:line="240" w:lineRule="auto"/>
        <w:ind w:left="60" w:right="60"/>
        <w:rPr>
          <w:rFonts w:ascii="Arial" w:eastAsia="Times New Roman" w:hAnsi="Arial" w:cs="Arial"/>
          <w:color w:val="000000"/>
          <w:sz w:val="20"/>
          <w:szCs w:val="20"/>
          <w:lang w:eastAsia="es-CR"/>
        </w:rPr>
      </w:pPr>
      <w:r w:rsidRPr="00021234">
        <w:rPr>
          <w:rFonts w:ascii="Arial" w:eastAsia="Times New Roman" w:hAnsi="Arial" w:cs="Arial"/>
          <w:b/>
          <w:bCs/>
          <w:color w:val="000000"/>
          <w:sz w:val="20"/>
          <w:szCs w:val="20"/>
          <w:lang w:eastAsia="es-CR"/>
        </w:rPr>
        <w:t>Analizado por: </w:t>
      </w:r>
      <w:r w:rsidRPr="00021234">
        <w:rPr>
          <w:rFonts w:ascii="Arial" w:eastAsia="Times New Roman" w:hAnsi="Arial" w:cs="Arial"/>
          <w:color w:val="000000"/>
          <w:sz w:val="20"/>
          <w:szCs w:val="20"/>
          <w:lang w:eastAsia="es-CR"/>
        </w:rPr>
        <w:t>SALA CONSTITUCIONAL</w:t>
      </w:r>
    </w:p>
    <w:p w:rsidR="00021234" w:rsidRPr="00021234" w:rsidRDefault="00021234" w:rsidP="00021234">
      <w:pPr>
        <w:shd w:val="clear" w:color="auto" w:fill="FFFFFF"/>
        <w:spacing w:line="240" w:lineRule="auto"/>
        <w:rPr>
          <w:rFonts w:ascii="Arial" w:eastAsia="Times New Roman" w:hAnsi="Arial" w:cs="Arial"/>
          <w:color w:val="000000"/>
          <w:sz w:val="20"/>
          <w:szCs w:val="20"/>
          <w:lang w:eastAsia="es-CR"/>
        </w:rPr>
      </w:pPr>
    </w:p>
    <w:p w:rsidR="00021234" w:rsidRPr="00021234" w:rsidRDefault="00021234" w:rsidP="00021234">
      <w:pPr>
        <w:shd w:val="clear" w:color="auto" w:fill="FFFFFF"/>
        <w:spacing w:after="450" w:line="240" w:lineRule="auto"/>
        <w:outlineLvl w:val="3"/>
        <w:rPr>
          <w:rFonts w:ascii="Arial" w:eastAsia="Times New Roman" w:hAnsi="Arial" w:cs="Arial"/>
          <w:color w:val="000000"/>
          <w:sz w:val="24"/>
          <w:szCs w:val="24"/>
          <w:lang w:eastAsia="es-CR"/>
        </w:rPr>
      </w:pPr>
      <w:r w:rsidRPr="00021234">
        <w:rPr>
          <w:rFonts w:ascii="Arial" w:eastAsia="Times New Roman" w:hAnsi="Arial" w:cs="Arial"/>
          <w:color w:val="000000"/>
          <w:sz w:val="24"/>
          <w:szCs w:val="24"/>
          <w:lang w:eastAsia="es-CR"/>
        </w:rPr>
        <w:t>Texto de la resolución</w:t>
      </w:r>
    </w:p>
    <w:p w:rsidR="00021234" w:rsidRPr="00021234" w:rsidRDefault="00021234" w:rsidP="00021234">
      <w:pPr>
        <w:shd w:val="clear" w:color="auto" w:fill="FFFFFF"/>
        <w:spacing w:line="240" w:lineRule="auto"/>
        <w:jc w:val="right"/>
        <w:rPr>
          <w:rFonts w:ascii="Times New Roman" w:eastAsia="Times New Roman" w:hAnsi="Times New Roman" w:cs="Times New Roman"/>
          <w:color w:val="000000"/>
          <w:sz w:val="24"/>
          <w:szCs w:val="24"/>
          <w:lang w:val="en-US" w:eastAsia="es-CR"/>
        </w:rPr>
      </w:pPr>
      <w:r w:rsidRPr="00021234">
        <w:rPr>
          <w:rFonts w:ascii="WASP 39 L" w:eastAsia="Times New Roman" w:hAnsi="WASP 39 L" w:cs="Times New Roman"/>
          <w:color w:val="000000"/>
          <w:sz w:val="28"/>
          <w:szCs w:val="28"/>
          <w:vertAlign w:val="subscript"/>
          <w:lang w:val="en" w:eastAsia="es-CR"/>
        </w:rPr>
        <w:t>*150011830007CO*</w:t>
      </w:r>
    </w:p>
    <w:p w:rsidR="00021234" w:rsidRPr="00021234" w:rsidRDefault="00021234" w:rsidP="00021234">
      <w:pPr>
        <w:shd w:val="clear" w:color="auto" w:fill="FFFFFF"/>
        <w:spacing w:line="240" w:lineRule="auto"/>
        <w:rPr>
          <w:rFonts w:ascii="Times New Roman" w:eastAsia="Times New Roman" w:hAnsi="Times New Roman" w:cs="Times New Roman"/>
          <w:color w:val="000000"/>
          <w:sz w:val="24"/>
          <w:szCs w:val="24"/>
          <w:lang w:val="en-US" w:eastAsia="es-CR"/>
        </w:rPr>
      </w:pPr>
      <w:r w:rsidRPr="00021234">
        <w:rPr>
          <w:rFonts w:ascii="Times New Roman" w:eastAsia="Times New Roman" w:hAnsi="Times New Roman" w:cs="Times New Roman"/>
          <w:b/>
          <w:bCs/>
          <w:color w:val="000000"/>
          <w:sz w:val="28"/>
          <w:szCs w:val="28"/>
          <w:lang w:val="en" w:eastAsia="es-CR"/>
        </w:rPr>
        <w:t>Exp: 15-001183-0007-CO</w:t>
      </w:r>
    </w:p>
    <w:p w:rsidR="00021234" w:rsidRPr="00021234" w:rsidRDefault="00021234" w:rsidP="00021234">
      <w:pPr>
        <w:shd w:val="clear" w:color="auto" w:fill="FFFFFF"/>
        <w:spacing w:line="240" w:lineRule="auto"/>
        <w:rPr>
          <w:rFonts w:ascii="Times New Roman" w:eastAsia="Times New Roman" w:hAnsi="Times New Roman" w:cs="Times New Roman"/>
          <w:color w:val="000000"/>
          <w:sz w:val="24"/>
          <w:szCs w:val="24"/>
          <w:lang w:val="en-US" w:eastAsia="es-CR"/>
        </w:rPr>
      </w:pPr>
      <w:r w:rsidRPr="00021234">
        <w:rPr>
          <w:rFonts w:ascii="Times New Roman" w:eastAsia="Times New Roman" w:hAnsi="Times New Roman" w:cs="Times New Roman"/>
          <w:b/>
          <w:bCs/>
          <w:color w:val="000000"/>
          <w:sz w:val="28"/>
          <w:szCs w:val="28"/>
          <w:lang w:val="en" w:eastAsia="es-CR"/>
        </w:rPr>
        <w:t>Res. Nº 2015004815</w:t>
      </w:r>
    </w:p>
    <w:p w:rsidR="00021234" w:rsidRPr="00021234" w:rsidRDefault="00021234" w:rsidP="00021234">
      <w:pPr>
        <w:shd w:val="clear" w:color="auto" w:fill="FFFFFF"/>
        <w:spacing w:line="240" w:lineRule="auto"/>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00000"/>
          <w:sz w:val="28"/>
          <w:szCs w:val="28"/>
          <w:lang w:eastAsia="es-CR"/>
        </w:rPr>
        <w:t>SALA CONSTITUCIONAL DE LA CORTE SUPREMA DE JUSTICIA. San José, a las nueve horas cuarenta minutos del diez de abril de dos mil quince.</w:t>
      </w:r>
    </w:p>
    <w:p w:rsidR="00021234" w:rsidRPr="00021234" w:rsidRDefault="00021234" w:rsidP="00021234">
      <w:pPr>
        <w:shd w:val="clear" w:color="auto" w:fill="FFFFFF"/>
        <w:spacing w:after="0" w:line="300" w:lineRule="atLeast"/>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color w:val="000000"/>
          <w:sz w:val="28"/>
          <w:szCs w:val="28"/>
          <w:lang w:eastAsia="es-CR"/>
        </w:rPr>
        <w:t>Recurso de amparo que se tramita bajo el expediente </w:t>
      </w:r>
      <w:r w:rsidRPr="00021234">
        <w:rPr>
          <w:rFonts w:ascii="Times New Roman" w:eastAsia="Times New Roman" w:hAnsi="Times New Roman" w:cs="Times New Roman"/>
          <w:b/>
          <w:bCs/>
          <w:color w:val="000000"/>
          <w:sz w:val="28"/>
          <w:szCs w:val="28"/>
          <w:lang w:eastAsia="es-CR"/>
        </w:rPr>
        <w:t>15-001183-0007-CO,</w:t>
      </w:r>
      <w:r w:rsidRPr="00021234">
        <w:rPr>
          <w:rFonts w:ascii="Times New Roman" w:eastAsia="Times New Roman" w:hAnsi="Times New Roman" w:cs="Times New Roman"/>
          <w:color w:val="000000"/>
          <w:sz w:val="28"/>
          <w:szCs w:val="28"/>
          <w:lang w:eastAsia="es-CR"/>
        </w:rPr>
        <w:t> interpuesto por [Nombre 001]</w:t>
      </w:r>
      <w:r w:rsidRPr="00021234">
        <w:rPr>
          <w:rFonts w:ascii="Times New Roman" w:eastAsia="Times New Roman" w:hAnsi="Times New Roman" w:cs="Times New Roman"/>
          <w:b/>
          <w:bCs/>
          <w:color w:val="000000"/>
          <w:sz w:val="28"/>
          <w:szCs w:val="28"/>
          <w:lang w:eastAsia="es-CR"/>
        </w:rPr>
        <w:t>, </w:t>
      </w:r>
      <w:r w:rsidRPr="00021234">
        <w:rPr>
          <w:rFonts w:ascii="Times New Roman" w:eastAsia="Times New Roman" w:hAnsi="Times New Roman" w:cs="Times New Roman"/>
          <w:color w:val="000000"/>
          <w:sz w:val="28"/>
          <w:szCs w:val="28"/>
          <w:lang w:eastAsia="es-CR"/>
        </w:rPr>
        <w:t>cédula de identidad [Valor 001]</w:t>
      </w:r>
      <w:r w:rsidRPr="00021234">
        <w:rPr>
          <w:rFonts w:ascii="Times New Roman" w:eastAsia="Times New Roman" w:hAnsi="Times New Roman" w:cs="Times New Roman"/>
          <w:color w:val="000000"/>
          <w:sz w:val="27"/>
          <w:szCs w:val="27"/>
          <w:lang w:eastAsia="es-CR"/>
        </w:rPr>
        <w:t> </w:t>
      </w:r>
      <w:r w:rsidRPr="00021234">
        <w:rPr>
          <w:rFonts w:ascii="Times New Roman" w:eastAsia="Times New Roman" w:hAnsi="Times New Roman" w:cs="Times New Roman"/>
          <w:color w:val="000000"/>
          <w:sz w:val="28"/>
          <w:szCs w:val="28"/>
          <w:lang w:eastAsia="es-CR"/>
        </w:rPr>
        <w:t>, contra </w:t>
      </w:r>
      <w:r w:rsidRPr="00021234">
        <w:rPr>
          <w:rFonts w:ascii="Times New Roman" w:eastAsia="Times New Roman" w:hAnsi="Times New Roman" w:cs="Times New Roman"/>
          <w:b/>
          <w:bCs/>
          <w:color w:val="000000"/>
          <w:sz w:val="28"/>
          <w:szCs w:val="28"/>
          <w:lang w:eastAsia="es-CR"/>
        </w:rPr>
        <w:t>EL INSTITUTO COSTARRICENSE DE ELECTRICIDAD, EL SUPERINTENDENTE DE TELECOMUNICACIONES, EL ALCALDE Y EL PRESIDENTE DEL CONCEJO, TANTO DE LA MUNICIPALIDAD DE MIRAMAR COMO DE LA MUNICIPALIDAD DE SAN RAMÓN.</w:t>
      </w:r>
    </w:p>
    <w:p w:rsidR="00021234" w:rsidRPr="00021234" w:rsidRDefault="00021234" w:rsidP="00021234">
      <w:pPr>
        <w:shd w:val="clear" w:color="auto" w:fill="FFFFFF"/>
        <w:spacing w:after="0" w:line="300" w:lineRule="atLeast"/>
        <w:jc w:val="center"/>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00000"/>
          <w:sz w:val="28"/>
          <w:szCs w:val="28"/>
          <w:lang w:eastAsia="es-CR"/>
        </w:rPr>
        <w:t>Resultando:</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00000"/>
          <w:sz w:val="28"/>
          <w:szCs w:val="28"/>
          <w:lang w:eastAsia="es-CR"/>
        </w:rPr>
        <w:t>1.-</w:t>
      </w:r>
      <w:r w:rsidRPr="00021234">
        <w:rPr>
          <w:rFonts w:ascii="Times New Roman" w:eastAsia="Times New Roman" w:hAnsi="Times New Roman" w:cs="Times New Roman"/>
          <w:color w:val="000000"/>
          <w:sz w:val="26"/>
          <w:szCs w:val="26"/>
          <w:lang w:eastAsia="es-CR"/>
        </w:rPr>
        <w:t> </w:t>
      </w:r>
      <w:r w:rsidRPr="00021234">
        <w:rPr>
          <w:rFonts w:ascii="Times New Roman" w:eastAsia="Times New Roman" w:hAnsi="Times New Roman" w:cs="Times New Roman"/>
          <w:color w:val="000000"/>
          <w:sz w:val="28"/>
          <w:szCs w:val="28"/>
          <w:lang w:eastAsia="es-CR"/>
        </w:rPr>
        <w:t xml:space="preserve">Por escrito recibido en la Secretaría de la Sala al ser las 12:40 horas del 28 de enero de 2015, la parte recurrente interpone recurso de amparo contra el Instituto Costarricense de Electricidad, la Municipalidad de Miramar y la Municipalidad de San Ramón, y manifiesta que la comunidad de Zapotal está dividida por el límite de Alajuela y Puntarenas, y el río Jabonal divide el pueblo en Zapotal de Miramar de Puntarenas, y Las Parcelas de Zapotal de San Ramón de Alajuela, pero en realidad son una sola comunidad. Señala que Las Parcelas solamente tienen camino transitable para salir a Miramar, pues el camino para San Ramón fue abierto hace más de veinte años y nunca fue lastrado ni tiene alcantarillado, por lo que es una trocha intransitable. Indica que quienes tienen propiedades en Las Parcelas deben realizar todas sus gestiones ante la Municipalidad de San Ramón, pero deben salir por Miramar de Puntarenas, pues no hay comunicación por tierra con la Municipalidad de </w:t>
      </w:r>
      <w:r w:rsidRPr="00021234">
        <w:rPr>
          <w:rFonts w:ascii="Times New Roman" w:eastAsia="Times New Roman" w:hAnsi="Times New Roman" w:cs="Times New Roman"/>
          <w:color w:val="000000"/>
          <w:sz w:val="28"/>
          <w:szCs w:val="28"/>
          <w:lang w:eastAsia="es-CR"/>
        </w:rPr>
        <w:lastRenderedPageBreak/>
        <w:t>San Ramón. Manifiesta que quienes tienen propiedades en Las Parcelas, pagan anualmente impuestos municipales de bienes inmuebles, pero no reciben ayuda de la Municipalidad de San Ramón en caminos, puentes, alcantarillado, cunetas, acueductos, electricidad o telecomunicaciones. Señala que en este sentido Las Parcelas es tierra de nadie, pues la Municipalidad de Miramar repara caminos hasta el río Jabonal, y la Municipalidad de San Ramón ni siquiera se hace presente. Indica que para salir hacia Miramar, existe una pendiente de un kilómetro que no permite el paso de vehículos livianos, pues en verano hay mucha piedra suelta y en invierno las corrientes de agua dañan el camino. Manifiesta que el 23 de julio de 2013, la Sala Constitucional, por resolución 2013-009879 en expediente 13-005318-0007-CO, ordenó a Maryleana Méndez Jiménez, en su calidad de Presidente del Concejo de la Superintendencia de Telecomunicaciones, que en el plazo máximo de un año, contado a partir de la notificación de la sentencia, tomase las decisiones necesarias encaminadas a dotar, de manera efectiva, el acceso a los servicios de telecomunicaciones a la Comunidad de Zapotal de Miramar de Puntarenas; sin embargo, dicho fallo </w:t>
      </w:r>
      <w:r w:rsidRPr="00021234">
        <w:rPr>
          <w:rFonts w:ascii="Times New Roman" w:eastAsia="Times New Roman" w:hAnsi="Times New Roman" w:cs="Times New Roman"/>
          <w:i/>
          <w:iCs/>
          <w:color w:val="000000"/>
          <w:sz w:val="28"/>
          <w:szCs w:val="28"/>
          <w:lang w:eastAsia="es-CR"/>
        </w:rPr>
        <w:t>no incluyó a la comunidad de Las Parcelas de Zapotal</w:t>
      </w:r>
      <w:r w:rsidRPr="00021234">
        <w:rPr>
          <w:rFonts w:ascii="Times New Roman" w:eastAsia="Times New Roman" w:hAnsi="Times New Roman" w:cs="Times New Roman"/>
          <w:color w:val="000000"/>
          <w:sz w:val="28"/>
          <w:szCs w:val="28"/>
          <w:lang w:eastAsia="es-CR"/>
        </w:rPr>
        <w:t> , y por ello, actualmente no se han instalado teléfonos residenciales en Zapotal, no existe señal de celular y los tres teléfonos públicos están dañados.</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00000"/>
          <w:sz w:val="28"/>
          <w:szCs w:val="28"/>
          <w:lang w:eastAsia="es-CR"/>
        </w:rPr>
        <w:t>2.-</w:t>
      </w:r>
      <w:r w:rsidRPr="00021234">
        <w:rPr>
          <w:rFonts w:ascii="Times New Roman" w:eastAsia="Times New Roman" w:hAnsi="Times New Roman" w:cs="Times New Roman"/>
          <w:color w:val="000000"/>
          <w:sz w:val="28"/>
          <w:szCs w:val="28"/>
          <w:lang w:eastAsia="es-CR"/>
        </w:rPr>
        <w:t> Por medio de la resolución de las 15:51 horas del 28 de enero de 2015, esta Sala concede audiencia al Presidente Ejecutivo del Instituto Costarricense de Electricidad, el Superintendente de Telecomunicaciones, al Alcalde y el Presidente del Concejo Municipal de la Municipalidad de San Ramón, así como al Alcalde y el Presidente del Concejo Municipal de la Municipalidad de Miramar, para que rindan el informe respectivo en relación a los hechos expuestos por la parte recurrente.</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00000"/>
          <w:sz w:val="28"/>
          <w:szCs w:val="28"/>
          <w:lang w:eastAsia="es-CR"/>
        </w:rPr>
        <w:t>3.-</w:t>
      </w:r>
      <w:r w:rsidRPr="00021234">
        <w:rPr>
          <w:rFonts w:ascii="Times New Roman" w:eastAsia="Times New Roman" w:hAnsi="Times New Roman" w:cs="Times New Roman"/>
          <w:color w:val="000000"/>
          <w:sz w:val="28"/>
          <w:szCs w:val="28"/>
          <w:lang w:eastAsia="es-CR"/>
        </w:rPr>
        <w:t> Mediante escrito recibido en la Secretaría de la Sala al ser las 11:28 horas del 05 de febrero de 2015, informa bajo juramento Maryleana Méndez Jiménez, en su condición de Presidenta del Consejo de la Superintendencia de Telecomunicaciones, en resumen, lo siguiente: que la SUTEL debe administrar el Fondo Nacional de Telecomunicaciones (FONATEL), además de definir los proyectos y programas por desarrollar a cargo del mismo, con base en las necesidades de servicios de telecomunicaciones por medio de iniciativas presentadas a su consideración en el marco de lo establecido en el Plan Nacional de Desarrollo de las Telecomunicaciones y en procura de los objetivos fundamentales del Régimen de Acceso Universal, Servicio Universal y Solidaridad. Además, debe realizar un proceso de valoración que incluye estudios socio-económicos, técnicos y de mercado, para la definición y formulación de los proyectos que se desarrollen con cargo de FONATEL. </w:t>
      </w:r>
      <w:r w:rsidRPr="00021234">
        <w:rPr>
          <w:rFonts w:ascii="Times New Roman" w:eastAsia="Times New Roman" w:hAnsi="Times New Roman" w:cs="Times New Roman"/>
          <w:color w:val="000000"/>
          <w:sz w:val="28"/>
          <w:szCs w:val="28"/>
          <w:u w:val="single"/>
          <w:lang w:eastAsia="es-CR"/>
        </w:rPr>
        <w:t xml:space="preserve">Respecto al caso de Las Parcelas de Zapotal de San Ramón de </w:t>
      </w:r>
      <w:r w:rsidRPr="00021234">
        <w:rPr>
          <w:rFonts w:ascii="Times New Roman" w:eastAsia="Times New Roman" w:hAnsi="Times New Roman" w:cs="Times New Roman"/>
          <w:color w:val="000000"/>
          <w:sz w:val="28"/>
          <w:szCs w:val="28"/>
          <w:u w:val="single"/>
          <w:lang w:eastAsia="es-CR"/>
        </w:rPr>
        <w:lastRenderedPageBreak/>
        <w:t>Alajuela,</w:t>
      </w:r>
      <w:r w:rsidRPr="00021234">
        <w:rPr>
          <w:rFonts w:ascii="Times New Roman" w:eastAsia="Times New Roman" w:hAnsi="Times New Roman" w:cs="Times New Roman"/>
          <w:color w:val="000000"/>
          <w:sz w:val="28"/>
          <w:szCs w:val="28"/>
          <w:lang w:eastAsia="es-CR"/>
        </w:rPr>
        <w:t> refiere que a la fecha, no se ha recibido una solicitud o iniciativa por parte del Instituto Costarricense de Electricidad, o bien, por parte de los vecinos de Las Parcelas de Zapotal, tendente a poner en conocimiento de ese órgano las necesidades de la comunidad de Las Parcelas de Zapotal, ni las condiciones financieras previstas para la provisión de servicios de telecomunicaciones en dicha comunidad. Razón por la cual, considera que debe declararse sin lugar el recurso, respecto a su representada. Por otra parte, explica que la Superintendencia está desarrollando –con cargo al Fondo Nacional de Telecomunicaciones-, el “Programa de Acceso a Servicios de Telecomunicaciones en Comunidades no Conectadas o Sub-conectadas”; el cual tiene como objetivo proveer acceso fijo a los servicios de telefonía e Internet a las comunidades que no tienen acceso adecuado o no resulta financieramente rentable proveerlo; al mismo tiempo, incluye la dotación de estos servicios a Centros de Prestación de Servicios Públicos ubicados en estas comunidades, tales como los centros educativos o los centros comunitarios inteligentes. Indica que la comunidad de Las Parcelas de Zapotal de San Ramón de Alajuela está considerada particularmente dentro del proyecto, para la atención de la Región denominada Gran Área Metropolitana. Agrega que la formulación de estos proyectos está programada para el segundo semestre del 2015, en donde se realizarán visitas de campo, estudios socioeconómicos, técnicos y de mercado para la determinación del área de intervención. Por lo anterior, se planea que se pueda promover el proyecto durante el primer semestre del año 2016. Solicita se declare sin lugar el recurso.</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00000"/>
          <w:sz w:val="28"/>
          <w:szCs w:val="28"/>
          <w:lang w:eastAsia="es-CR"/>
        </w:rPr>
        <w:t>4.- </w:t>
      </w:r>
      <w:r w:rsidRPr="00021234">
        <w:rPr>
          <w:rFonts w:ascii="Times New Roman" w:eastAsia="Times New Roman" w:hAnsi="Times New Roman" w:cs="Times New Roman"/>
          <w:color w:val="000000"/>
          <w:sz w:val="28"/>
          <w:szCs w:val="28"/>
          <w:lang w:eastAsia="es-CR"/>
        </w:rPr>
        <w:t>Informa bajo juramento</w:t>
      </w:r>
      <w:r w:rsidRPr="00021234">
        <w:rPr>
          <w:rFonts w:ascii="Times New Roman" w:eastAsia="Times New Roman" w:hAnsi="Times New Roman" w:cs="Times New Roman"/>
          <w:b/>
          <w:bCs/>
          <w:color w:val="000000"/>
          <w:sz w:val="28"/>
          <w:szCs w:val="28"/>
          <w:lang w:eastAsia="es-CR"/>
        </w:rPr>
        <w:t> </w:t>
      </w:r>
      <w:r w:rsidRPr="00021234">
        <w:rPr>
          <w:rFonts w:ascii="Times New Roman" w:eastAsia="Times New Roman" w:hAnsi="Times New Roman" w:cs="Times New Roman"/>
          <w:color w:val="000000"/>
          <w:sz w:val="28"/>
          <w:szCs w:val="28"/>
          <w:lang w:eastAsia="es-CR"/>
        </w:rPr>
        <w:t xml:space="preserve">Álvaro Jiménez Cruz y Freddy Rodríguez Porras, por su orden Alcalde Municipal y Presidente del Concejo Municipal, ambos de la Municipalidad de Montes de Oro (documento presentado en la Secretaría de la Sala a las 16:05 horas del 05 de febrero de 2015) y manifiesta, en resumen, lo siguiente: que en el periodo 2013 se intervino el camino Palmital-Zapotal y Zapotal-Puente Jabonal, con la colocación de lastre para realizar un bacheo localizado en dicho tramo; sin embargo, fue la Municipalidad de San Ramón quien ingresó por este camino con maquinaria pesada, destruyendo el trabajo realizado. Agregan que, posteriormente, en el año 2014 se intervino el camino en dos distintas ocasiones, con el fin de realizar algunas ampliaciones, zanjeos y el bombeo a la superficie de rodamiento; todo con el fin de tener un buen desfogue y escurrimiento de las aguas pluviales. Explican que la comunidad de Las Parcelas pertenece al cantón de San Ramón, por lo que no se encuentra dentro de su jurisdicción, ya que la Municipalidad de Montes de Oro solo repara el camino hasta el río Jabonal por ser éste el límite cantonal y de conformidad con el inventario de los caminos municipales. Asegura que el tramo Zapotal-Puente Jabonal </w:t>
      </w:r>
      <w:r w:rsidRPr="00021234">
        <w:rPr>
          <w:rFonts w:ascii="Times New Roman" w:eastAsia="Times New Roman" w:hAnsi="Times New Roman" w:cs="Times New Roman"/>
          <w:color w:val="000000"/>
          <w:sz w:val="28"/>
          <w:szCs w:val="28"/>
          <w:lang w:eastAsia="es-CR"/>
        </w:rPr>
        <w:lastRenderedPageBreak/>
        <w:t>comprende una distancia de 2.29 kilómetros que van de la Escuela de Zapotal hasta el límite cantonal, río Jabonal. Refiere que, si bien, los recursos destinados por la Ley No. 8114 para Unidad Técnica de Gestión Vial no pueden ser desviados, por lo tanto, aunque la Municipalidad de Montes de Oro se encuentre anuente a tratar de ayudar a las mejoras del camino en mención es imposible ya que para eso la Municipalidad de San Ramón se le otorgan los fondos correspondientes para intervenir el camino de Las Pacelas en Zapotal. No obstante lo anterior, ese municipio está tomando en cuenta el camino de Zapotal, para programarlo dentro de los proyectos que se están financiando con los recursos del Banco Interamericano de Desarrollo; realizando además las gestiones correspondientes para que el proyecto se lleve a cabo. Por lo anterior, se beneficiarían no solo los habitantes del Cantón de Montes de Oro, sino también a ciudadanos de los cantones aledaños, como es el caso del recurrente. Estiman que las entidades recurridas han realizado un gran esfuerzo y una gran inversión en el camino objeto del presente recurso.</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00000"/>
          <w:sz w:val="28"/>
          <w:szCs w:val="28"/>
          <w:lang w:eastAsia="es-CR"/>
        </w:rPr>
        <w:t>5.-</w:t>
      </w:r>
      <w:r w:rsidRPr="00021234">
        <w:rPr>
          <w:rFonts w:ascii="Times New Roman" w:eastAsia="Times New Roman" w:hAnsi="Times New Roman" w:cs="Times New Roman"/>
          <w:color w:val="000000"/>
          <w:sz w:val="28"/>
          <w:szCs w:val="28"/>
          <w:lang w:eastAsia="es-CR"/>
        </w:rPr>
        <w:t> Informan bajo juramento Mercedes Moya Araya y Gerardo Campos Alvarado, por su orden Alcaldesa Municipal y Presidente del Concejo Municipal, ambos de la Municipalidad de San Ramón (documento presentado en la Secretaría de la Sala a las 14:01 horas del 09 de febrero de 2015) y manifiestan, en resumen, lo siguiente: que el distrito de Zapotal pertenece políticamente al cantón de San Ramón, sin embargo, existen zonas en las que si bien se encuentran cerca del área, pertenecen al cantón de Miramar. Explican que el área de Las Parcelas de Zapotal se comunica con el casco central de San Ramón a través de dos rutas principales: a) la ruta del Quetzal –ruta nacional 705- y b) parte de la ruta El Quetzal-San Antonio de Zapotal –ruta nacional 742-. Tales caminos se encuentran, en su mayoría, en lastre, por lo que son transitables para vehículos de doble tracción durante todo el año. Adicionalmente, los habitantes de la comunidad poseen salida hacia el Cantón de Miramar. Asegura que las rutas descritas fueron descritas por el Director de Gestión Vial de la Municipalidad de San Ramón en el oficio MSR-DGV-001-02-2015 del 04 de febrero de 2015 en los siguientes términos:</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00000"/>
          <w:sz w:val="28"/>
          <w:szCs w:val="28"/>
          <w:lang w:eastAsia="es-CR"/>
        </w:rPr>
        <w:t>A) Ruta Nacional 705-Ruta del Quetzal:</w:t>
      </w:r>
      <w:r w:rsidRPr="00021234">
        <w:rPr>
          <w:rFonts w:ascii="Times New Roman" w:eastAsia="Times New Roman" w:hAnsi="Times New Roman" w:cs="Times New Roman"/>
          <w:color w:val="000000"/>
          <w:sz w:val="28"/>
          <w:szCs w:val="28"/>
          <w:lang w:eastAsia="es-CR"/>
        </w:rPr>
        <w:t> es una ruta que iniciando en la ciudad de San Ramón, se comunica con el sector de Bajo La Paz para luego ir por la ruta 2-02-039 y, posteriormente, se traslada por la ruta 2-02-129 hasta llegar a Las Parcelas de Zapotal, en las cercanías de Miramar. Además, cada una de ellas se describe de la siguiente forma:</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color w:val="000000"/>
          <w:sz w:val="28"/>
          <w:szCs w:val="28"/>
          <w:u w:val="single"/>
          <w:lang w:eastAsia="es-CR"/>
        </w:rPr>
        <w:t>A.1) Ruta Nacional 705:</w:t>
      </w:r>
      <w:r w:rsidRPr="00021234">
        <w:rPr>
          <w:rFonts w:ascii="Times New Roman" w:eastAsia="Times New Roman" w:hAnsi="Times New Roman" w:cs="Times New Roman"/>
          <w:color w:val="000000"/>
          <w:sz w:val="28"/>
          <w:szCs w:val="28"/>
          <w:lang w:eastAsia="es-CR"/>
        </w:rPr>
        <w:t xml:space="preserve"> comunica a la ciudad de San Ramón con el sector de La Paz de Piedades Norte. Este acceso está a cargo del Consejo Nacional de Vialidad. Actualmente, se encuentra en superficie de asfalto en buen estado apto para tránsito vehicular sin mayores inconvenientes. Desde la </w:t>
      </w:r>
      <w:r w:rsidRPr="00021234">
        <w:rPr>
          <w:rFonts w:ascii="Times New Roman" w:eastAsia="Times New Roman" w:hAnsi="Times New Roman" w:cs="Times New Roman"/>
          <w:color w:val="000000"/>
          <w:sz w:val="28"/>
          <w:szCs w:val="28"/>
          <w:lang w:eastAsia="es-CR"/>
        </w:rPr>
        <w:lastRenderedPageBreak/>
        <w:t>ciudad de San Ramón hasta la intersección con el camino 2-02-039, posee una longitud aproximada de doce kilómetros. Ahora bien, por ser responsabilidad del Consejo Nacional de Vialidad, la municipalidad no puede intervenir recursos en esa ruta nacional.</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color w:val="000000"/>
          <w:sz w:val="28"/>
          <w:szCs w:val="28"/>
          <w:u w:val="single"/>
          <w:lang w:eastAsia="es-CR"/>
        </w:rPr>
        <w:t>A.2) Ruta cantonal 2-02-039</w:t>
      </w:r>
      <w:r w:rsidRPr="00021234">
        <w:rPr>
          <w:rFonts w:ascii="Times New Roman" w:eastAsia="Times New Roman" w:hAnsi="Times New Roman" w:cs="Times New Roman"/>
          <w:color w:val="000000"/>
          <w:sz w:val="28"/>
          <w:szCs w:val="28"/>
          <w:lang w:eastAsia="es-CR"/>
        </w:rPr>
        <w:t>: indica entroncando la ruta nacional 705 en La Paz y finaliza entroncando la ruta C129 en San Antonio de Zapotal. Posee una longitud de 13.9 kilómetros. Actualmente, posee una superficie de ruedo mayormente de lastre, aunque se debe destacar la presencia de asfalto en un tramo de 3 kilómetros iniciales y, además, en un tramo de camino de fuerte pendiente. La colocación de ese asfalto se realizó en convenio con el Ministerio de Obras Pública y Transportes, la Municipalidad y los vecinos en el año 2012. Además, el Ministerio de Obras Públicas y Transportes ha realizado la ampliación de ese acceso en los años 2013 y 2014 y, en colaboración de la municipalidad, se han colocado pasos de alcantarilla para el mantenimiento del estado del camino. Actualmente, en criterio de la Unidad de Gestión Vial del cantón, ese camino se encuentra en estado regular, con puntos de cuidado que deben ser atendidos próximamente para evitar el deterioro del acceso. Por otro lado, en la inspección realizada por el Ing. Topógrafo Álvaro Fuentes García –funcionario de la Municipalidad de San Ramón-, el 03 de febrero de 2015, se constató que esa vía es transitable en vehículo de doble tracción sin reportar inconvenientes. Asimismo, detectados los pasos más afectados, se espera la realización de trabajos de bacheo en lastre en las áreas requeridas una vez que la maquinaria municipal se encuentre en la zona, a fin de aprovechar de mejor manera los recursos limitados que posee el ente municipal para la gestión de caminos.</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color w:val="000000"/>
          <w:sz w:val="28"/>
          <w:szCs w:val="28"/>
          <w:u w:val="single"/>
          <w:lang w:eastAsia="es-CR"/>
        </w:rPr>
        <w:t>A.3) Ruta cantonal 2-02-129:</w:t>
      </w:r>
      <w:r w:rsidRPr="00021234">
        <w:rPr>
          <w:rFonts w:ascii="Times New Roman" w:eastAsia="Times New Roman" w:hAnsi="Times New Roman" w:cs="Times New Roman"/>
          <w:color w:val="000000"/>
          <w:sz w:val="28"/>
          <w:szCs w:val="28"/>
          <w:lang w:eastAsia="es-CR"/>
        </w:rPr>
        <w:t> inicia entroncando la ruta cantonal 039 en San Antonio de Zapotal y finaliza en el río Jabonal límite con Miramar. Actualmente, posee una superficie de ruedo en lastre y tierra, divididos de la siguiente forma:</w:t>
      </w:r>
    </w:p>
    <w:p w:rsidR="00021234" w:rsidRPr="00021234" w:rsidRDefault="00021234" w:rsidP="00021234">
      <w:pPr>
        <w:shd w:val="clear" w:color="auto" w:fill="FFFFFF"/>
        <w:spacing w:after="0" w:line="300" w:lineRule="atLeast"/>
        <w:ind w:left="1620" w:hanging="360"/>
        <w:rPr>
          <w:rFonts w:ascii="Times New Roman" w:eastAsia="Times New Roman" w:hAnsi="Times New Roman" w:cs="Times New Roman"/>
          <w:color w:val="000000"/>
          <w:sz w:val="24"/>
          <w:szCs w:val="24"/>
          <w:lang w:eastAsia="es-CR"/>
        </w:rPr>
      </w:pPr>
      <w:r w:rsidRPr="00021234">
        <w:rPr>
          <w:rFonts w:ascii="Symbol" w:eastAsia="Times New Roman" w:hAnsi="Symbol" w:cs="Times New Roman"/>
          <w:color w:val="010101"/>
          <w:sz w:val="20"/>
          <w:szCs w:val="20"/>
          <w:lang w:val="en" w:eastAsia="es-CR"/>
        </w:rPr>
        <w:t></w:t>
      </w:r>
      <w:r w:rsidRPr="00021234">
        <w:rPr>
          <w:rFonts w:ascii="Times New Roman" w:eastAsia="Times New Roman" w:hAnsi="Times New Roman" w:cs="Times New Roman"/>
          <w:color w:val="010101"/>
          <w:sz w:val="14"/>
          <w:szCs w:val="14"/>
          <w:lang w:eastAsia="es-CR"/>
        </w:rPr>
        <w:t> </w:t>
      </w:r>
      <w:r w:rsidRPr="00021234">
        <w:rPr>
          <w:rFonts w:ascii="Times New Roman" w:eastAsia="Times New Roman" w:hAnsi="Times New Roman" w:cs="Times New Roman"/>
          <w:color w:val="000000"/>
          <w:sz w:val="28"/>
          <w:szCs w:val="28"/>
          <w:lang w:eastAsia="es-CR"/>
        </w:rPr>
        <w:t>Desde San Antonio de Zapotal hasta el sector de Barranquilla se encuentra el camino mayormente en lastre en buen estado, aunque destaca la presencia de algunos baches que deben ser reparados para evitar inconvenientes y, al menos, una endiente que se encuentra en tierra. En este tramo se ha colocado pasos de agua por quebradas por parte del MOPT, la Municipalidad y vecinos de la zona y, actualmente, el MOPT realiza actividades de ampliación de ese tramo.</w:t>
      </w:r>
    </w:p>
    <w:p w:rsidR="00021234" w:rsidRPr="00021234" w:rsidRDefault="00021234" w:rsidP="00021234">
      <w:pPr>
        <w:shd w:val="clear" w:color="auto" w:fill="FFFFFF"/>
        <w:spacing w:after="0" w:line="300" w:lineRule="atLeast"/>
        <w:ind w:left="1620" w:hanging="360"/>
        <w:rPr>
          <w:rFonts w:ascii="Times New Roman" w:eastAsia="Times New Roman" w:hAnsi="Times New Roman" w:cs="Times New Roman"/>
          <w:color w:val="000000"/>
          <w:sz w:val="24"/>
          <w:szCs w:val="24"/>
          <w:lang w:eastAsia="es-CR"/>
        </w:rPr>
      </w:pPr>
      <w:r w:rsidRPr="00021234">
        <w:rPr>
          <w:rFonts w:ascii="Symbol" w:eastAsia="Times New Roman" w:hAnsi="Symbol" w:cs="Times New Roman"/>
          <w:color w:val="010101"/>
          <w:sz w:val="20"/>
          <w:szCs w:val="20"/>
          <w:lang w:val="en" w:eastAsia="es-CR"/>
        </w:rPr>
        <w:t></w:t>
      </w:r>
      <w:r w:rsidRPr="00021234">
        <w:rPr>
          <w:rFonts w:ascii="Times New Roman" w:eastAsia="Times New Roman" w:hAnsi="Times New Roman" w:cs="Times New Roman"/>
          <w:color w:val="010101"/>
          <w:sz w:val="14"/>
          <w:szCs w:val="14"/>
          <w:lang w:eastAsia="es-CR"/>
        </w:rPr>
        <w:t> </w:t>
      </w:r>
      <w:r w:rsidRPr="00021234">
        <w:rPr>
          <w:rFonts w:ascii="Times New Roman" w:eastAsia="Times New Roman" w:hAnsi="Times New Roman" w:cs="Times New Roman"/>
          <w:color w:val="000000"/>
          <w:sz w:val="28"/>
          <w:szCs w:val="28"/>
          <w:lang w:eastAsia="es-CR"/>
        </w:rPr>
        <w:t xml:space="preserve">Desde el sector de Barranquilla hasta el cruce para llegar hacia calle La Danta, este es el sector con más afectación ya que se encuentra en tierra y, pese a que actualmente se puede transitar </w:t>
      </w:r>
      <w:r w:rsidRPr="00021234">
        <w:rPr>
          <w:rFonts w:ascii="Times New Roman" w:eastAsia="Times New Roman" w:hAnsi="Times New Roman" w:cs="Times New Roman"/>
          <w:color w:val="000000"/>
          <w:sz w:val="28"/>
          <w:szCs w:val="28"/>
          <w:lang w:eastAsia="es-CR"/>
        </w:rPr>
        <w:lastRenderedPageBreak/>
        <w:t>por la época de verano, en el invierno pueden haber inconvenientes para los que transiten la zona. Se ha destacado que los puntos más críticos son al menos dos pendientes, las cuales, no se pudieron intervenir en años anteriores ya que no resulta conveniente, por razones técnicas, realizar ese tipo de trabajos en época lluviosa. Se espera en época de verano para poder realizar trabajos de mantenimiento de los puntos críticos antes citados.</w:t>
      </w:r>
    </w:p>
    <w:p w:rsidR="00021234" w:rsidRPr="00021234" w:rsidRDefault="00021234" w:rsidP="00021234">
      <w:pPr>
        <w:shd w:val="clear" w:color="auto" w:fill="FFFFFF"/>
        <w:spacing w:after="0" w:line="300" w:lineRule="atLeast"/>
        <w:ind w:left="1620" w:hanging="360"/>
        <w:rPr>
          <w:rFonts w:ascii="Times New Roman" w:eastAsia="Times New Roman" w:hAnsi="Times New Roman" w:cs="Times New Roman"/>
          <w:color w:val="000000"/>
          <w:sz w:val="24"/>
          <w:szCs w:val="24"/>
          <w:lang w:eastAsia="es-CR"/>
        </w:rPr>
      </w:pPr>
      <w:r w:rsidRPr="00021234">
        <w:rPr>
          <w:rFonts w:ascii="Symbol" w:eastAsia="Times New Roman" w:hAnsi="Symbol" w:cs="Times New Roman"/>
          <w:color w:val="010101"/>
          <w:sz w:val="20"/>
          <w:szCs w:val="20"/>
          <w:lang w:val="en" w:eastAsia="es-CR"/>
        </w:rPr>
        <w:t></w:t>
      </w:r>
      <w:r w:rsidRPr="00021234">
        <w:rPr>
          <w:rFonts w:ascii="Times New Roman" w:eastAsia="Times New Roman" w:hAnsi="Times New Roman" w:cs="Times New Roman"/>
          <w:color w:val="010101"/>
          <w:sz w:val="14"/>
          <w:szCs w:val="14"/>
          <w:lang w:eastAsia="es-CR"/>
        </w:rPr>
        <w:t> </w:t>
      </w:r>
      <w:r w:rsidRPr="00021234">
        <w:rPr>
          <w:rFonts w:ascii="Times New Roman" w:eastAsia="Times New Roman" w:hAnsi="Times New Roman" w:cs="Times New Roman"/>
          <w:color w:val="000000"/>
          <w:sz w:val="28"/>
          <w:szCs w:val="28"/>
          <w:lang w:eastAsia="es-CR"/>
        </w:rPr>
        <w:t>Desde el sector del Cruce para llegar hacia calle La Danta hasta Las Parcelas de Zapotal. Este acceso se encuentra mayormente en lastre en regular estado, aunque se debe destacar la presencia de baches producto del invierno. Mediante intervenciones realizadas en el año 2013, por parte de la Municipalidad, posibilitan el recorrido de ese tramo sin mayor inconveniente. Se espera programar bacheo en la zona a efectos de mitigar los baches encontrados en el sitio.</w:t>
      </w:r>
    </w:p>
    <w:p w:rsidR="00021234" w:rsidRPr="00021234" w:rsidRDefault="00021234" w:rsidP="00021234">
      <w:pPr>
        <w:shd w:val="clear" w:color="auto" w:fill="FFFFFF"/>
        <w:spacing w:after="0" w:line="300" w:lineRule="atLeast"/>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00000"/>
          <w:sz w:val="28"/>
          <w:szCs w:val="28"/>
          <w:lang w:eastAsia="es-CR"/>
        </w:rPr>
        <w:t>B) Ruta Nacional 742- Parte de la Ruta El Quetzal-San Antonio de Zapotal:</w:t>
      </w:r>
      <w:r w:rsidRPr="00021234">
        <w:rPr>
          <w:rFonts w:ascii="Times New Roman" w:eastAsia="Times New Roman" w:hAnsi="Times New Roman" w:cs="Times New Roman"/>
          <w:color w:val="000000"/>
          <w:sz w:val="26"/>
          <w:szCs w:val="26"/>
          <w:lang w:eastAsia="es-CR"/>
        </w:rPr>
        <w:t> </w:t>
      </w:r>
      <w:r w:rsidRPr="00021234">
        <w:rPr>
          <w:rFonts w:ascii="Times New Roman" w:eastAsia="Times New Roman" w:hAnsi="Times New Roman" w:cs="Times New Roman"/>
          <w:color w:val="000000"/>
          <w:sz w:val="28"/>
          <w:szCs w:val="28"/>
          <w:lang w:eastAsia="es-CR"/>
        </w:rPr>
        <w:t>es una ruta nacional que iniciando en la ciudad de San Ramón se comunica con el sector de Potrerillos de Piedades Sur, para luego ir a la ruta 2-02-008 para, posteriormente, trasladarse por la ruta 2-2-065 y, finalmente, llegar a la ruta 2-02-129 que lo comunicará a las parcelas de zapotal, en las cercanías del límite de Miramar. A continuación describe cada una de ellas:</w:t>
      </w:r>
    </w:p>
    <w:p w:rsidR="00021234" w:rsidRPr="00021234" w:rsidRDefault="00021234" w:rsidP="00021234">
      <w:pPr>
        <w:shd w:val="clear" w:color="auto" w:fill="FFFFFF"/>
        <w:spacing w:after="0" w:line="300" w:lineRule="atLeast"/>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color w:val="000000"/>
          <w:sz w:val="28"/>
          <w:szCs w:val="28"/>
          <w:u w:val="single"/>
          <w:lang w:eastAsia="es-CR"/>
        </w:rPr>
        <w:t>B.1) Ruta Nacional 742:</w:t>
      </w:r>
      <w:r w:rsidRPr="00021234">
        <w:rPr>
          <w:rFonts w:ascii="Times New Roman" w:eastAsia="Times New Roman" w:hAnsi="Times New Roman" w:cs="Times New Roman"/>
          <w:color w:val="000000"/>
          <w:sz w:val="28"/>
          <w:szCs w:val="28"/>
          <w:lang w:eastAsia="es-CR"/>
        </w:rPr>
        <w:t> Comunica a la ciudad de San Ramón con el sector de Potrerillos de Piedades Sur. Este acceso está a cargo del Consejo Nacional de Vialidad. Actualmente se encuentra en superficie de asfalto y lastre en buen estado, apto para el tránsito vehicular sin mayores inconvenientes. Desde la ciudad de San Ramón hasta la intersección con el camino 2-02-008 posee una longitud aproximada de 16 kilómetros. Por ser responsabilidad del Consejo Nacional de Vialidad, ese municipio no puede invertir recursos en esa ruta nacional.</w:t>
      </w:r>
    </w:p>
    <w:p w:rsidR="00021234" w:rsidRPr="00021234" w:rsidRDefault="00021234" w:rsidP="00021234">
      <w:pPr>
        <w:shd w:val="clear" w:color="auto" w:fill="FFFFFF"/>
        <w:spacing w:after="0" w:line="300" w:lineRule="atLeast"/>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color w:val="000000"/>
          <w:sz w:val="28"/>
          <w:szCs w:val="28"/>
          <w:u w:val="single"/>
          <w:lang w:eastAsia="es-CR"/>
        </w:rPr>
        <w:t>B.2) Ruta cantonal 2-02-065</w:t>
      </w:r>
      <w:r w:rsidRPr="00021234">
        <w:rPr>
          <w:rFonts w:ascii="Times New Roman" w:eastAsia="Times New Roman" w:hAnsi="Times New Roman" w:cs="Times New Roman"/>
          <w:color w:val="000000"/>
          <w:sz w:val="28"/>
          <w:szCs w:val="28"/>
          <w:lang w:eastAsia="es-CR"/>
        </w:rPr>
        <w:t xml:space="preserve">: inicia entroncando la ruta Nacional 745 en Potrerillos y finaliza entroncando la ruta C180 en San Antonio de Zapotal. Posee una longitud de 9.12 kilómetros. Actualmente, posee una superficie de ruedo en lastre mayoritariamente, aunque debe destacar la presencia de asfalto en un tramo de doscientos metros de fuerte pendiente. Actualmente, a criterio de la Unidad de Gestión Vial del cantón, este camino se encuentra en estado regular con puntos de cuidado que deben ser atendidos con el fin de evitar el deterioro del acceso, conforme a criterio de vecinos de la zona ese acceso es transitable. En el año 2013, después de mucho esfuerzo de vecinos de la comunidad de Zapotal, con la colaboración de la municipalidad y la Embajada </w:t>
      </w:r>
      <w:r w:rsidRPr="00021234">
        <w:rPr>
          <w:rFonts w:ascii="Times New Roman" w:eastAsia="Times New Roman" w:hAnsi="Times New Roman" w:cs="Times New Roman"/>
          <w:color w:val="000000"/>
          <w:sz w:val="28"/>
          <w:szCs w:val="28"/>
          <w:lang w:eastAsia="es-CR"/>
        </w:rPr>
        <w:lastRenderedPageBreak/>
        <w:t>de Japón, se inauguró un puente sobre el río Victoria. Dicha obra marca un antes y un después en el desarrollo agrícola y social de la zona, impactando de forma directa a los poblados de San Antonio de Zapotal por la cercanía y, asimismo, proporcionando una ruta alterna para los vecinos de Las Parcelas de Miramar. Se espera coordinar la intervención del acceso para obras de mantenimiento una vez que la maquinaria se encuentre en la zona a fin de planificar de mejor manera los recursos.</w:t>
      </w:r>
    </w:p>
    <w:p w:rsidR="00021234" w:rsidRPr="00021234" w:rsidRDefault="00021234" w:rsidP="00021234">
      <w:pPr>
        <w:shd w:val="clear" w:color="auto" w:fill="FFFFFF"/>
        <w:spacing w:after="0" w:line="300" w:lineRule="atLeast"/>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color w:val="000000"/>
          <w:sz w:val="28"/>
          <w:szCs w:val="28"/>
          <w:lang w:eastAsia="es-CR"/>
        </w:rPr>
        <w:t>B.3)</w:t>
      </w:r>
      <w:r w:rsidRPr="00021234">
        <w:rPr>
          <w:rFonts w:ascii="Times New Roman" w:eastAsia="Times New Roman" w:hAnsi="Times New Roman" w:cs="Times New Roman"/>
          <w:color w:val="000000"/>
          <w:sz w:val="24"/>
          <w:szCs w:val="24"/>
          <w:lang w:eastAsia="es-CR"/>
        </w:rPr>
        <w:t> </w:t>
      </w:r>
      <w:r w:rsidRPr="00021234">
        <w:rPr>
          <w:rFonts w:ascii="Times New Roman" w:eastAsia="Times New Roman" w:hAnsi="Times New Roman" w:cs="Times New Roman"/>
          <w:color w:val="000000"/>
          <w:sz w:val="28"/>
          <w:szCs w:val="28"/>
          <w:u w:val="single"/>
          <w:lang w:eastAsia="es-CR"/>
        </w:rPr>
        <w:t>Ruta cantonal 2-02-180</w:t>
      </w:r>
      <w:r w:rsidRPr="00021234">
        <w:rPr>
          <w:rFonts w:ascii="Times New Roman" w:eastAsia="Times New Roman" w:hAnsi="Times New Roman" w:cs="Times New Roman"/>
          <w:color w:val="000000"/>
          <w:sz w:val="28"/>
          <w:szCs w:val="28"/>
          <w:lang w:eastAsia="es-CR"/>
        </w:rPr>
        <w:t>: La ruta inicia entroncando en la ruta 2-02-065 en San Antonio de Zapotal y finaliza entroncando la Ruta 2-02-129 en el cruce La Paz. Posee una longitud de 1.80 kilómetros. Labores de ampliación se realizaron por parte del Ministerio de Obras Públicas y Transportes en el año 2014. Actualmente, posee una superficie de ruedo en lastre mayoritariamente. En esa ruta se desarrolla el caserío de San Antonio de Zapotal y, en criterio de la Unidad de Gestión Vial del cantón, se encuentra en un estado regular con puntos de cuidado que deben ser intervenidos para evitar el deterioro del acceso, conforme a criterio de vecinos de la zona ese acceso es transitable. Se espera coordinar intervención de acceso para obras de mantenimiento una vez que la maquinaria se encuentre en la zona a fin de planificar de mejor forma los recursos. Finalmente, en cuanto a la ruta 2-02-129, ya fue analizada líneas atrás. Refieren que todas las rutas descritas se encuentran habilitadas para el paso vehicular de doble tracción sin mayores inconvenientes, según inspección realizada el 03 de febrero de 2015 por el dirigente comunal Enrique Araya Araya y, además, el Ingeniero y Topógrafo Álvaro Fuentes –funcionario municipal-. Asimismo, se ha logrado identificar pequeños tramos del camino que requieren atención debido a que carecen de material ideal para garantizar el adecuado tránsito en época de lluvia, dicha atención se espera realizarla en el transcurso del verano 2015, especialmente, considerando la buena planificación de los recursos que en su mayoría resultan insuficientes para la atención de 820 kilómetros de la red vial de San Ramón. Finalmente, en lo que se refiere al camino y pendientes del sector del cantón de Miramar, desconocen la atención brindada por la Municipalidad de Miramar. En el mismo sentido, tampoco pueden pronunciarse respecto a los servicios que brinda el Instituto Costarricense de Electricidad y la Superintendencia de Comunicaciones. Por lo expuesto, solicita se declare sin lugar el recurso, en lo concerniente a la Municipalidad de San Ramón.</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00000"/>
          <w:sz w:val="28"/>
          <w:szCs w:val="28"/>
          <w:lang w:eastAsia="es-CR"/>
        </w:rPr>
        <w:t>6.-</w:t>
      </w:r>
      <w:r w:rsidRPr="00021234">
        <w:rPr>
          <w:rFonts w:ascii="Times New Roman" w:eastAsia="Times New Roman" w:hAnsi="Times New Roman" w:cs="Times New Roman"/>
          <w:color w:val="000000"/>
          <w:sz w:val="28"/>
          <w:szCs w:val="28"/>
          <w:lang w:eastAsia="es-CR"/>
        </w:rPr>
        <w:t xml:space="preserve"> Informa bajo juramento María Gabriela Sánchez Rodríguez, en su condición de Apoderada General Judicial del Instituto Costarricense de Electricidad (documento presentado en la Secretaría de la Sala a las 16:16 horas del 13 de febrero de 2015) y manifiesta, en resumen, lo siguiente: que el informe es rendido en sustitución del Ing. Carlos Manuel Obregón, quien se </w:t>
      </w:r>
      <w:r w:rsidRPr="00021234">
        <w:rPr>
          <w:rFonts w:ascii="Times New Roman" w:eastAsia="Times New Roman" w:hAnsi="Times New Roman" w:cs="Times New Roman"/>
          <w:color w:val="000000"/>
          <w:sz w:val="28"/>
          <w:szCs w:val="28"/>
          <w:lang w:eastAsia="es-CR"/>
        </w:rPr>
        <w:lastRenderedPageBreak/>
        <w:t>encuentra atendiendo gestiones propias de su cargo. Adicionalmente, indica que el informe es rendido con base en los datos suministrados por la dependencia institucional encargada de esos asuntos, específicamente, la Agencia Telefónica de Miramar de Puntarenas (informe No. 9522-013-2015 del 12 de febrero de 2015). Asegura que a ese instituto no le resulta rentable el proyecto en la zona objeto del presente recurso, por lo que actualmente, la necesidad del servicio de la comunidad está siendo atendida por la Superintendencia de Telecomunicaciones. Alega que, según el informe No. 9552-013-2015, emitido el 12 de febrero de 2015 por la Agencia Telefónica de Miramar, es de relevancia lo dicho a continuación:</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color w:val="000000"/>
          <w:sz w:val="28"/>
          <w:szCs w:val="28"/>
          <w:lang w:eastAsia="es-CR"/>
        </w:rPr>
        <w:t>a. A la fecha, el recurrente [Nombre 001] no ha solicitado servicio telefónico alguno en la localidad de Las Parcelas de Zapotal de Miramar.</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color w:val="000000"/>
          <w:sz w:val="28"/>
          <w:szCs w:val="28"/>
          <w:lang w:eastAsia="es-CR"/>
        </w:rPr>
        <w:t>b. La zona mencionada en el presente recurso de amparo está incluida en la respuesta que el ICE efectuó dentro del recurso de amparo Nº 13-005318-0007-CO, tal y como explicó la misma Agencia de Miramar vía nota Nº 9552-072-2013, dentro de ese expediente judicial.</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color w:val="000000"/>
          <w:sz w:val="28"/>
          <w:szCs w:val="28"/>
          <w:lang w:eastAsia="es-CR"/>
        </w:rPr>
        <w:t>En esa última destaca lo señalado por la Gerencia de Telecomunicaciones, según la cual, los resultados de los estudios técnicos y financieros realizados, hacen ver que las soluciones de telecomunicaciones para la zona de Zapotal deben ser ejecutadas por la Superintendencia de Telecomunicaciones (SUTEL) utilizando los recursos del Fondo Nacional de Telecomunicaciones (FONATEL), dado que no es posible para ese instituto desarrollar un proyecto que no representa un beneficio para la institución desde la perspectiva financiera, pues los indicadores financieros no alcanzan los parámetros mínimos para catalogar el proyecto como un negocio rentable, y se le informó adicionalmente que en cumplimiento de la responsabilidad como Operador proveedor del servicio de telecomunicaciones disponibles al público, se procedió a coordinar con la División Jurídica Institucional para la remisión de dicho caso a la Superintendencia de Telecomunicaciones.</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color w:val="000000"/>
          <w:sz w:val="28"/>
          <w:szCs w:val="28"/>
          <w:lang w:eastAsia="es-CR"/>
        </w:rPr>
        <w:t>c. El pasado mes de julio de 2014, se llevó a cabo una reunión con vecinos de la comunidad de Zapotal, en la que participaron personeros de SUTEL y la Defensoría de los Habitantes con el fin de brindar una solución a dicha problemática. A esa reunión asistió el señor Humberto Pineda en representación de SUTEL, de quien aportar copia del compromiso adquirido con la comunidad.</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color w:val="000000"/>
          <w:sz w:val="28"/>
          <w:szCs w:val="28"/>
          <w:lang w:eastAsia="es-CR"/>
        </w:rPr>
        <w:t xml:space="preserve">Considera que desde que se contestó el recurso de amparo Nº 13-005318-0007-CO, el ICE ha indicado que proveer servicios de telecomunicaciones a la comunidad de Zapotal no es rentable y, por ende, su atención está siendo analizada por la Superintendencia de Telecomunicaciones con recursos del Fondo Nacional de Telecomunicaciones. Asegura que el ICE </w:t>
      </w:r>
      <w:r w:rsidRPr="00021234">
        <w:rPr>
          <w:rFonts w:ascii="Times New Roman" w:eastAsia="Times New Roman" w:hAnsi="Times New Roman" w:cs="Times New Roman"/>
          <w:color w:val="000000"/>
          <w:sz w:val="28"/>
          <w:szCs w:val="28"/>
          <w:lang w:eastAsia="es-CR"/>
        </w:rPr>
        <w:lastRenderedPageBreak/>
        <w:t xml:space="preserve">siempre se ha referido al caso de la zona como una sola comunidad y no como dos eventos independientes. Refiere que, tanto de las notas como de los correos aportados en esta ocasión se desprende que el ICE ha analizado el caso de la comunidad de Zapota como un todo, independientemente de la división territorial municipal que pueda existir en los cantones de San Ramón de Alajuela y Montes de Oro de Puntarenas. Respecto a los servicios de telecomunicaciones que brinda el ICE en un mercado de competencia, indica que este Tribunal ha venido imponiendo al ICE, en otros recursos de amparo, la obligación de enviar a la SUTEL el diseño de los proyectos a desarrollar en las comunidades deficitarias, pero sin el correspondiente reconocimiento de los costos asociados, lo que corresponde una desventaja competitiva frente a los otros operadores y proveedores de telecomunicaciones. Considera que, de acuerdo a la normativa aplicable, facultan a la SUTEL para que de modo directo le asigne al ICE el diseño y construcción de los proyectos deficitarios, siempre y cuando, se de un reconocimiento de los costos que ello implica, ya que la institución ha venido incurriendo en costos que no le son reconocidos conforme a la ley. Refiere que, en reiteradas ocasiones, el ICE ha indicado a esta Sala cuales son los elementos que deben converger para poder realizar la instalación de cualquier servicio telefónico, sea que se trate de un traslado exterior, reinstalación, o bien, de un servicio nuevo, la cual debe estar compuesta por los siguientes elementos técnicos: red primaria (aquella que une el distribuidor principal de la central telefónica local con el armario de distribución, a través de cables llamados “primarios”, los cuales son instalados en la mayoría de los casos en forma subterránea, pudiendo variar su capacidad, desde doscientos pares hasta tres mil doscientos pares), red secundaria (aquella que une al armario de distribución con las cajas de dispersión, a través de cables llamados “secundarios”, los cuales son instalados en forma aérea y cuya capacidad puede variar de diez a veinte pares), el número telefónico (corresponde a una cifra de ocho dígitos que se le asigna al cliente del Sistema Nacional de Telecomunicaciones, y al equipo terminal asociado de la central telefónica respectiva). Asegura que la instalación de un servicio telefónico nuevo requiere de la convergencia de los elementos anteriores y, en ausencia de uno de ellos, imposibilita la instalación del servicio por razones técnicas, lo cual, a su vez constituye el motivo por el cual, en algunas ocasiones, varias de las solicitudes quedan en un estado de demanda pendiente. Así, en resumen, expone la Gerencia de Telecomunicaciones y la Agencia Telefónica de Miramar señalaron desde el 2013, con motivo del recurso de amparo Nº 13-005318-0007-CO, que en la comunidad de Zapotal no era rentable para el ICE proveer dichos servicios, </w:t>
      </w:r>
      <w:r w:rsidRPr="00021234">
        <w:rPr>
          <w:rFonts w:ascii="Times New Roman" w:eastAsia="Times New Roman" w:hAnsi="Times New Roman" w:cs="Times New Roman"/>
          <w:color w:val="000000"/>
          <w:sz w:val="28"/>
          <w:szCs w:val="28"/>
          <w:lang w:eastAsia="es-CR"/>
        </w:rPr>
        <w:lastRenderedPageBreak/>
        <w:t>razón por la cual se dio la intervención de SUTEL desde el 2013. En vista de las consideraciones expuestas, solicita se declare sin lugar el recurso.</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00000"/>
          <w:sz w:val="28"/>
          <w:szCs w:val="28"/>
          <w:lang w:eastAsia="es-CR"/>
        </w:rPr>
        <w:t>7.-</w:t>
      </w:r>
      <w:r w:rsidRPr="00021234">
        <w:rPr>
          <w:rFonts w:ascii="Times New Roman" w:eastAsia="Times New Roman" w:hAnsi="Times New Roman" w:cs="Times New Roman"/>
          <w:color w:val="000000"/>
          <w:sz w:val="28"/>
          <w:szCs w:val="28"/>
          <w:lang w:eastAsia="es-CR"/>
        </w:rPr>
        <w:t> Por escrito recibido en la Secretaría de la Sala al ser las 14:08 horas del 17 de febrero de 2015, informa bajo juramento Carlos Manuel Obregón Quesada, en su condición de Presidente Ejecutivo del Instituto Costarricense de Electricidad, ratifica en todos sus extremos el informe rendido por María Gabriela Sánchez Rodríguez, en su condición de Apoderada General Judicial del Instituto Costarricense de Electricidad.</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00000"/>
          <w:sz w:val="28"/>
          <w:szCs w:val="28"/>
          <w:lang w:eastAsia="es-CR"/>
        </w:rPr>
        <w:t>8.-</w:t>
      </w:r>
      <w:r w:rsidRPr="00021234">
        <w:rPr>
          <w:rFonts w:ascii="Times New Roman" w:eastAsia="Times New Roman" w:hAnsi="Times New Roman" w:cs="Times New Roman"/>
          <w:color w:val="000000"/>
          <w:sz w:val="28"/>
          <w:szCs w:val="28"/>
          <w:lang w:eastAsia="es-CR"/>
        </w:rPr>
        <w:t> En los procedimientos seguidos se ha observado las prescripciones legales.</w:t>
      </w:r>
    </w:p>
    <w:p w:rsidR="00021234" w:rsidRPr="00021234" w:rsidRDefault="00021234" w:rsidP="00021234">
      <w:pPr>
        <w:shd w:val="clear" w:color="auto" w:fill="FFFFFF"/>
        <w:spacing w:line="240" w:lineRule="auto"/>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color w:val="000000"/>
          <w:sz w:val="28"/>
          <w:szCs w:val="28"/>
          <w:lang w:eastAsia="es-CR"/>
        </w:rPr>
        <w:t>Redacta el Magistrado </w:t>
      </w:r>
      <w:r w:rsidRPr="00021234">
        <w:rPr>
          <w:rFonts w:ascii="Times New Roman" w:eastAsia="Times New Roman" w:hAnsi="Times New Roman" w:cs="Times New Roman"/>
          <w:b/>
          <w:bCs/>
          <w:color w:val="000000"/>
          <w:sz w:val="28"/>
          <w:szCs w:val="28"/>
          <w:lang w:eastAsia="es-CR"/>
        </w:rPr>
        <w:t>Salazar Alvarado</w:t>
      </w:r>
      <w:r w:rsidRPr="00021234">
        <w:rPr>
          <w:rFonts w:ascii="Times New Roman" w:eastAsia="Times New Roman" w:hAnsi="Times New Roman" w:cs="Times New Roman"/>
          <w:color w:val="000000"/>
          <w:sz w:val="28"/>
          <w:szCs w:val="28"/>
          <w:lang w:eastAsia="es-CR"/>
        </w:rPr>
        <w:t>; y,</w:t>
      </w:r>
    </w:p>
    <w:p w:rsidR="00021234" w:rsidRPr="00021234" w:rsidRDefault="00021234" w:rsidP="00021234">
      <w:pPr>
        <w:shd w:val="clear" w:color="auto" w:fill="FFFFFF"/>
        <w:spacing w:after="0" w:line="300" w:lineRule="atLeast"/>
        <w:jc w:val="center"/>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00000"/>
          <w:sz w:val="28"/>
          <w:szCs w:val="28"/>
          <w:lang w:eastAsia="es-CR"/>
        </w:rPr>
        <w:t>Considerando:</w:t>
      </w:r>
    </w:p>
    <w:p w:rsidR="00021234" w:rsidRPr="00021234" w:rsidRDefault="00021234" w:rsidP="00021234">
      <w:pPr>
        <w:shd w:val="clear" w:color="auto" w:fill="FFFFFF"/>
        <w:spacing w:after="0" w:line="300" w:lineRule="atLeast"/>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00000"/>
          <w:sz w:val="28"/>
          <w:szCs w:val="28"/>
          <w:lang w:eastAsia="es-CR"/>
        </w:rPr>
        <w:t>I.- Objeto del recurso. </w:t>
      </w:r>
      <w:r w:rsidRPr="00021234">
        <w:rPr>
          <w:rFonts w:ascii="Times New Roman" w:eastAsia="Times New Roman" w:hAnsi="Times New Roman" w:cs="Times New Roman"/>
          <w:color w:val="000000"/>
          <w:sz w:val="28"/>
          <w:szCs w:val="28"/>
          <w:lang w:eastAsia="es-CR"/>
        </w:rPr>
        <w:t>El recurrente acusa que la comunidad de Las Parcelas de Zapotal tiene camino transitable, únicamente, para salir a Miramar pues el que conduce a San Ramón no está lastreado, no hay alcantarillado y es necesario instalar barandas de seguridad en los puentes. Indica que, para salir a Miramar, existe una pendiente de casi un kilómetro que no permite el paso de vehículos livianos pues, en verano, hay mucha piedra suelta y, en invierno, el agua daña el camino, además, hace falta pavimentar el camino e instalar cunetas. Adicionalmente, asegura que esa comunidad no cuenta con telefonía residencial y, además, los tres teléfonos públicos que existen están dañados.</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00000"/>
          <w:sz w:val="28"/>
          <w:szCs w:val="28"/>
          <w:lang w:val="en" w:eastAsia="es-CR"/>
        </w:rPr>
        <w:t>II.- Hechos probados.</w:t>
      </w:r>
      <w:r w:rsidRPr="00021234">
        <w:rPr>
          <w:rFonts w:ascii="Times New Roman" w:eastAsia="Times New Roman" w:hAnsi="Times New Roman" w:cs="Times New Roman"/>
          <w:color w:val="000000"/>
          <w:sz w:val="28"/>
          <w:szCs w:val="28"/>
          <w:lang w:val="en" w:eastAsia="es-CR"/>
        </w:rPr>
        <w:t> De importancia para la decisión de este asunto, se estiman como debidamente demostrados los siguientes hechos de relevancia:</w:t>
      </w:r>
    </w:p>
    <w:p w:rsidR="00021234" w:rsidRPr="00021234" w:rsidRDefault="00021234" w:rsidP="00021234">
      <w:pPr>
        <w:shd w:val="clear" w:color="auto" w:fill="FFFFFF"/>
        <w:spacing w:after="0" w:line="300" w:lineRule="atLeast"/>
        <w:ind w:left="920" w:hanging="36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10101"/>
          <w:sz w:val="28"/>
          <w:szCs w:val="28"/>
          <w:lang w:val="en" w:eastAsia="es-CR"/>
        </w:rPr>
        <w:t>1.</w:t>
      </w:r>
      <w:r w:rsidRPr="00021234">
        <w:rPr>
          <w:rFonts w:ascii="Times New Roman" w:eastAsia="Times New Roman" w:hAnsi="Times New Roman" w:cs="Times New Roman"/>
          <w:b/>
          <w:bCs/>
          <w:color w:val="010101"/>
          <w:sz w:val="14"/>
          <w:szCs w:val="14"/>
          <w:lang w:val="en" w:eastAsia="es-CR"/>
        </w:rPr>
        <w:t> </w:t>
      </w:r>
      <w:r w:rsidRPr="00021234">
        <w:rPr>
          <w:rFonts w:ascii="Times New Roman" w:eastAsia="Times New Roman" w:hAnsi="Times New Roman" w:cs="Times New Roman"/>
          <w:color w:val="000000"/>
          <w:sz w:val="28"/>
          <w:szCs w:val="28"/>
          <w:lang w:val="en" w:eastAsia="es-CR"/>
        </w:rPr>
        <w:t>El Instituto Costarricense de Electricidad, por oficio 264-426-2012, recibido el 16 de agosto de 2012 por la Superintendencia de Telecomunicaciones, le trasladó a esta última una solicitud de financiamiento de obras para que se suplieran las necesidades de servicios de telecomunicaciones de la comunidad de Zapotal de San Ramón, Alajuela. Lo anterior, por no ser financieramente rentable para ese instituto prestar el servicio (véase al respecto copia del oficio 264-426-2012 remitido por la Superintendencia de Telecomunicaciones, para la resolución del caso resuelto en el expediente que se tramitó ante esta Sala bajo el No. 13-005318-0007-CO).</w:t>
      </w:r>
    </w:p>
    <w:p w:rsidR="00021234" w:rsidRPr="00021234" w:rsidRDefault="00021234" w:rsidP="00021234">
      <w:pPr>
        <w:shd w:val="clear" w:color="auto" w:fill="FFFFFF"/>
        <w:spacing w:after="0" w:line="300" w:lineRule="atLeast"/>
        <w:ind w:left="920" w:hanging="36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10101"/>
          <w:sz w:val="28"/>
          <w:szCs w:val="28"/>
          <w:lang w:val="en" w:eastAsia="es-CR"/>
        </w:rPr>
        <w:t>2.</w:t>
      </w:r>
      <w:r w:rsidRPr="00021234">
        <w:rPr>
          <w:rFonts w:ascii="Times New Roman" w:eastAsia="Times New Roman" w:hAnsi="Times New Roman" w:cs="Times New Roman"/>
          <w:b/>
          <w:bCs/>
          <w:color w:val="010101"/>
          <w:sz w:val="14"/>
          <w:szCs w:val="14"/>
          <w:lang w:val="en" w:eastAsia="es-CR"/>
        </w:rPr>
        <w:t> </w:t>
      </w:r>
      <w:r w:rsidRPr="00021234">
        <w:rPr>
          <w:rFonts w:ascii="Times New Roman" w:eastAsia="Times New Roman" w:hAnsi="Times New Roman" w:cs="Times New Roman"/>
          <w:color w:val="000000"/>
          <w:sz w:val="28"/>
          <w:szCs w:val="28"/>
          <w:lang w:val="en" w:eastAsia="es-CR"/>
        </w:rPr>
        <w:t xml:space="preserve">La Superintendencia de Telecomunicaciones está desarrollando para el 2015, para promoverse en el 2016 y, con cargo al Fondo Nacional de Telecomunicaciones, el “Programa de Acceso a Servicio en Comunidades no Conectadas o Sub Conectadas” que incluye a la </w:t>
      </w:r>
      <w:r w:rsidRPr="00021234">
        <w:rPr>
          <w:rFonts w:ascii="Times New Roman" w:eastAsia="Times New Roman" w:hAnsi="Times New Roman" w:cs="Times New Roman"/>
          <w:color w:val="000000"/>
          <w:sz w:val="28"/>
          <w:szCs w:val="28"/>
          <w:lang w:val="en" w:eastAsia="es-CR"/>
        </w:rPr>
        <w:lastRenderedPageBreak/>
        <w:t>comunidad de Las Parcelas de Zapotal en la Región denominada Gran Área Metropolitana; el cual, tiene como objetivo proveer acceso fijo a los servicios de telefonía e Internet a las comunidades que no tienen acceso adecuado o no resulta financieramente rentable proveerlo; al mismo tiempo, incluye la dotación de esos servicios a Centros de Prestación de Servicios Públicos ubicados en esas comunidades (véase al respecto el informe rendido por la Presidente del Consejo de la Superintendencia de Telecomunicaciones).</w:t>
      </w:r>
    </w:p>
    <w:p w:rsidR="00021234" w:rsidRPr="00021234" w:rsidRDefault="00021234" w:rsidP="00021234">
      <w:pPr>
        <w:shd w:val="clear" w:color="auto" w:fill="FFFFFF"/>
        <w:spacing w:after="0" w:line="300" w:lineRule="atLeast"/>
        <w:ind w:left="920" w:hanging="36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10101"/>
          <w:sz w:val="28"/>
          <w:szCs w:val="28"/>
          <w:lang w:val="en" w:eastAsia="es-CR"/>
        </w:rPr>
        <w:t>3.</w:t>
      </w:r>
      <w:r w:rsidRPr="00021234">
        <w:rPr>
          <w:rFonts w:ascii="Times New Roman" w:eastAsia="Times New Roman" w:hAnsi="Times New Roman" w:cs="Times New Roman"/>
          <w:b/>
          <w:bCs/>
          <w:color w:val="010101"/>
          <w:sz w:val="14"/>
          <w:szCs w:val="14"/>
          <w:lang w:val="en" w:eastAsia="es-CR"/>
        </w:rPr>
        <w:t> </w:t>
      </w:r>
      <w:r w:rsidRPr="00021234">
        <w:rPr>
          <w:rFonts w:ascii="Times New Roman" w:eastAsia="Times New Roman" w:hAnsi="Times New Roman" w:cs="Times New Roman"/>
          <w:color w:val="000000"/>
          <w:sz w:val="28"/>
          <w:szCs w:val="28"/>
          <w:lang w:val="en" w:eastAsia="es-CR"/>
        </w:rPr>
        <w:t>La Municipalidad de Montes de Oro ha realizado trabajos en el camino Palmital-Zapotal y Zapotal-Jabonal en los siguientes periodos: durante el periodo 2013, intervino el camino Palmital-Zapotal y Zapotal-Jabonal, colocaron lastre para realizar un bacheo localizado en dicho tramo; durante el periodo 2014, intervino el camino en dos distintas ocasiones con el fin de realizar algunas ampliaciones, zanjeos y el bombeo a la superficie de rodamiento, todo para tener un buen desfogue y escurrimiento de aguas pluviales. Además, dicho municipio, tiene programada la intervención de la zona dentro de los proyectos financiados con los recursos del Banco Interamericano de Desarrollo (véase al respecto el informe rendido por el Alcalde y el Presidente del Concejo, ambos funcionarios de la Municipalidad de Montes de Oro).</w:t>
      </w:r>
    </w:p>
    <w:p w:rsidR="00021234" w:rsidRPr="00021234" w:rsidRDefault="00021234" w:rsidP="00021234">
      <w:pPr>
        <w:shd w:val="clear" w:color="auto" w:fill="FFFFFF"/>
        <w:spacing w:after="0" w:line="300" w:lineRule="atLeast"/>
        <w:ind w:left="920" w:hanging="36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10101"/>
          <w:sz w:val="28"/>
          <w:szCs w:val="28"/>
          <w:lang w:val="en" w:eastAsia="es-CR"/>
        </w:rPr>
        <w:t>4.</w:t>
      </w:r>
      <w:r w:rsidRPr="00021234">
        <w:rPr>
          <w:rFonts w:ascii="Times New Roman" w:eastAsia="Times New Roman" w:hAnsi="Times New Roman" w:cs="Times New Roman"/>
          <w:b/>
          <w:bCs/>
          <w:color w:val="010101"/>
          <w:sz w:val="14"/>
          <w:szCs w:val="14"/>
          <w:lang w:val="en" w:eastAsia="es-CR"/>
        </w:rPr>
        <w:t> </w:t>
      </w:r>
      <w:r w:rsidRPr="00021234">
        <w:rPr>
          <w:rFonts w:ascii="Times New Roman" w:eastAsia="Times New Roman" w:hAnsi="Times New Roman" w:cs="Times New Roman"/>
          <w:color w:val="000000"/>
          <w:sz w:val="28"/>
          <w:szCs w:val="28"/>
          <w:lang w:val="en" w:eastAsia="es-CR"/>
        </w:rPr>
        <w:t>El área de Las Parcelas de Zapotal se comunica con el casco central de San Ramón a través de dos rutas principales: a) la ruta del Quetzal –ruta nacional 705- y b) parte de la ruta El Quetzal – San Antonio de Zapotal –ruta nacional 742-. Ambos caminos se encuentra, en su mayoría, en lastre, por lo que son transitables para vehículos de doble tracción durante todo el año (véase al respecto el informe rendido por la Alcaldesa y el Presidente del Concejo, ambos funcionarios de la Municipalidad de San Ramón).</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00000"/>
          <w:sz w:val="28"/>
          <w:szCs w:val="28"/>
          <w:lang w:val="en" w:eastAsia="es-CR"/>
        </w:rPr>
        <w:t>III.- Hechos no probados.</w:t>
      </w:r>
      <w:r w:rsidRPr="00021234">
        <w:rPr>
          <w:rFonts w:ascii="Times New Roman" w:eastAsia="Times New Roman" w:hAnsi="Times New Roman" w:cs="Times New Roman"/>
          <w:color w:val="000000"/>
          <w:sz w:val="28"/>
          <w:szCs w:val="28"/>
          <w:lang w:val="en" w:eastAsia="es-CR"/>
        </w:rPr>
        <w:t> De importancia para resolver este recurso se tienen por indemostrados los siguientes hechos de relevancia:</w:t>
      </w:r>
    </w:p>
    <w:p w:rsidR="00021234" w:rsidRPr="00021234" w:rsidRDefault="00021234" w:rsidP="00021234">
      <w:pPr>
        <w:shd w:val="clear" w:color="auto" w:fill="FFFFFF"/>
        <w:spacing w:after="0" w:line="300" w:lineRule="atLeast"/>
        <w:ind w:left="1260" w:hanging="36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10101"/>
          <w:sz w:val="28"/>
          <w:szCs w:val="28"/>
          <w:lang w:val="en" w:eastAsia="es-CR"/>
        </w:rPr>
        <w:t>1.</w:t>
      </w:r>
      <w:r w:rsidRPr="00021234">
        <w:rPr>
          <w:rFonts w:ascii="Times New Roman" w:eastAsia="Times New Roman" w:hAnsi="Times New Roman" w:cs="Times New Roman"/>
          <w:b/>
          <w:bCs/>
          <w:color w:val="010101"/>
          <w:sz w:val="14"/>
          <w:szCs w:val="14"/>
          <w:lang w:val="en" w:eastAsia="es-CR"/>
        </w:rPr>
        <w:t> </w:t>
      </w:r>
      <w:r w:rsidRPr="00021234">
        <w:rPr>
          <w:rFonts w:ascii="Times New Roman" w:eastAsia="Times New Roman" w:hAnsi="Times New Roman" w:cs="Times New Roman"/>
          <w:color w:val="000000"/>
          <w:sz w:val="28"/>
          <w:szCs w:val="28"/>
          <w:lang w:val="en" w:eastAsia="es-CR"/>
        </w:rPr>
        <w:t>Que el estado de la calle en la dirección de Jabonal hacia San Ramón de Alajuela, o bien, en la dirección hacia Puntarenas ponga en peligro la vida o la salud de los transeúntes de la comunidad de Las Parcelas de Zapotal los autos).</w:t>
      </w:r>
    </w:p>
    <w:p w:rsidR="00021234" w:rsidRPr="00021234" w:rsidRDefault="00021234" w:rsidP="00021234">
      <w:pPr>
        <w:shd w:val="clear" w:color="auto" w:fill="FFFFFF"/>
        <w:spacing w:after="0" w:line="300" w:lineRule="atLeast"/>
        <w:ind w:left="1260" w:hanging="36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10101"/>
          <w:sz w:val="28"/>
          <w:szCs w:val="28"/>
          <w:lang w:val="en" w:eastAsia="es-CR"/>
        </w:rPr>
        <w:t>2.</w:t>
      </w:r>
      <w:r w:rsidRPr="00021234">
        <w:rPr>
          <w:rFonts w:ascii="Times New Roman" w:eastAsia="Times New Roman" w:hAnsi="Times New Roman" w:cs="Times New Roman"/>
          <w:b/>
          <w:bCs/>
          <w:color w:val="010101"/>
          <w:sz w:val="14"/>
          <w:szCs w:val="14"/>
          <w:lang w:val="en" w:eastAsia="es-CR"/>
        </w:rPr>
        <w:t> </w:t>
      </w:r>
      <w:r w:rsidRPr="00021234">
        <w:rPr>
          <w:rFonts w:ascii="Times New Roman" w:eastAsia="Times New Roman" w:hAnsi="Times New Roman" w:cs="Times New Roman"/>
          <w:color w:val="000000"/>
          <w:sz w:val="28"/>
          <w:szCs w:val="28"/>
          <w:lang w:val="en" w:eastAsia="es-CR"/>
        </w:rPr>
        <w:t>Que el recurrente haya planteado denuncias por las condiciones de la calle en la localidad de Las Parcelas de Zapotal (los autos).</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00000"/>
          <w:sz w:val="28"/>
          <w:szCs w:val="28"/>
          <w:lang w:val="en" w:eastAsia="es-CR"/>
        </w:rPr>
        <w:t>IV.- Sobre la instalación de telefonía fija.</w:t>
      </w:r>
      <w:r w:rsidRPr="00021234">
        <w:rPr>
          <w:rFonts w:ascii="Times New Roman" w:eastAsia="Times New Roman" w:hAnsi="Times New Roman" w:cs="Times New Roman"/>
          <w:color w:val="000000"/>
          <w:sz w:val="24"/>
          <w:szCs w:val="24"/>
          <w:lang w:val="en" w:eastAsia="es-CR"/>
        </w:rPr>
        <w:t> </w:t>
      </w:r>
      <w:r w:rsidRPr="00021234">
        <w:rPr>
          <w:rFonts w:ascii="Times New Roman" w:eastAsia="Times New Roman" w:hAnsi="Times New Roman" w:cs="Times New Roman"/>
          <w:color w:val="000000"/>
          <w:sz w:val="28"/>
          <w:szCs w:val="28"/>
          <w:lang w:val="en" w:eastAsia="es-CR"/>
        </w:rPr>
        <w:t>Respecto al tema de la telefonía fija en nuestro país este Tribunal, en la sentencia 2015-003920 de las 09:05 horas del 20 de marzo de 2015, indicó lo siguiente:</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i/>
          <w:iCs/>
          <w:color w:val="000000"/>
          <w:sz w:val="28"/>
          <w:szCs w:val="28"/>
          <w:lang w:val="en" w:eastAsia="es-CR"/>
        </w:rPr>
        <w:lastRenderedPageBreak/>
        <w:t xml:space="preserve">“(…) Precisamente, dentro de esa gama de servicios públicos de interés general, encontramos el servicio telefónico fijo. Incluso, esta Sala ha reconocido, con anterioridad, que el agua, la luz y el teléfono son servicios básicos derivados del derecho a la salud y a la vida, por lo que merecen protección no solamente del Estado sino, también, de los particulares (ver sentencias Nos. 1996- 00634 de las 13:21 horas del 2 de febrero de 1996 y 10081-2008 de las 18:45 hrs. de 17 de junio de 2008). Ahora bien, dentro de los principios fundamentales que inspiran los servicios públicos destacan la continuidad, regularidad, eficiencia, eficacia, igualdad y universalidad, estos dos últimos suponen que todos los potenciales usuarios deben tener las mismas facilidades para acceder a la prestación efectiva de un servicio público sin que sea posible su denegación y que la demanda del servicio debe ser cubierta eficiente y eficazmente. Este Tribunal Constitucional, a partir de los Votos Nos. 5207-04 de las 14:55 hrs. del 18 de mayo de 2004 y 7532-04 de las 17:03 hrs. de 13 de julio de 2004, ha reconocido el derecho fundamental de los administrados al buen funcionamiento de los servicios públicos, el cual ha sido inferido a partir de los numerales 140, inciso 8°, 139, inciso 4° y 191 de la Constitución Política. Para hacer efectivas las cláusulas social y democrática, es menester que los servicios públicos atiendan la demanda de todos los administrados, sin poder alegarse razones presupuestarias o bien, limitaciones técnicas, que pueden enervar el goce y ejercicio de los derechos fundamentales inherentes o asociados a la prestación efectiva de un servicio público, tal como la libertad de comunicación. En el estado de cosas de la sociedad digital o informática y, dado el desarrollo tecnológico existente, los servicios de telecomunicaciones constituyen un servicio esencial que no puede ser negado, sobre todo, si existe en el mercado un solo ente público, en virtud de una concesión legislativa exclusiva, que puede prestarlos. Debe tomarse, finalmente, en consideración que otro principio de profunda raigambre constitucional que informa los servicios públicos es que son obligatorios, de modo que la administración prestadora —sobre todo si es el único sujeto en el mercado que lo ofrece en virtud de una concesión legislativa—, no puede escoger su clientela o usuarios y, por consiguiente, debe brindárselo a todo el que se lo requiera. En efecto, debe destacarse que si bien a partir de la entrada en vigencia de la Ley General de Telecomunicaciones se dispuso que la operación de redes y la prestación de servicios de telecomunicaciones iba a estar sujeta a un régimen sectorial de competencia (artículo 52) y que, además, la telefonía fija podría ofrecerse a los usuarios mediante nuevas tecnologías, es lo cierto que tratándose del servicio básico tradicional entendido como aquel “que tiene como objeto la comunicación de usuarios, mediante centrales de conmutación de circuitos para voz y datos, en una red </w:t>
      </w:r>
      <w:r w:rsidRPr="00021234">
        <w:rPr>
          <w:rFonts w:ascii="Times New Roman" w:eastAsia="Times New Roman" w:hAnsi="Times New Roman" w:cs="Times New Roman"/>
          <w:i/>
          <w:iCs/>
          <w:color w:val="000000"/>
          <w:sz w:val="28"/>
          <w:szCs w:val="28"/>
          <w:lang w:val="en" w:eastAsia="es-CR"/>
        </w:rPr>
        <w:lastRenderedPageBreak/>
        <w:t>predominantemente alámbrica, con acceso generalizado a la población” se mantiene, hasta el momento, en manos del Instituto Costarricense de Electricidad como único proveedor autorizado en virtud de una concesión especial legislativa en los términos del artículo 121, inciso 14, de la Constitución Política, así como los artículos 28 de la Ley General de Telecomunicaciones y 7 de la Ley de Fortalecimiento y Modernización de las Entidades Públicas del Sector Telecomunicaciones. En consecuencia, dado que, el referido servicio es prestado de forma única por el ICE, no podría éste, de forma válida, abstenerse de prestarlo, más aún, si la comunidad en cuestión no dispone de otras tecnologías para acceder al servicio de telefonía fija”.</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color w:val="000000"/>
          <w:sz w:val="28"/>
          <w:szCs w:val="28"/>
          <w:lang w:val="en" w:eastAsia="es-CR"/>
        </w:rPr>
        <w:t xml:space="preserve">Al respecto, considera este Tribunal que si bien le corresponde a la Superintendencia de Telecomunicaciones, a través del Fondo Nacional de Telecomunicaciones, promover el acceso a los servicios de telecomunicaciones de calidad, de manera oportuna, eficiente, a precios asequibles y competitivos, a los habitantes de las zonas del país, donde el costo de las inversiones para la instalación y el mantenimiento de la infraestructura hace que el suministro de estos servicios no sea financieramente rentable (artículo 32, de la Ley General de Telecomunicaciones); ello no autoriza al Instituto Costarricense de Electricidad, como único proveedor del servicio telefónico básico tradicional, a renunciar a prestar un servicio de interés general. Menos aún que, a la fecha, no existe un proyecto específico y en curso, con cargo a FONATEL, para solucionar, definitivamente, la ausencia de servicios de telecomunicaciones que existe en la zona mencionada por el recurrente. De la prueba aportada, se desprende que las autoridades del ICE descartaron la implementación de telefonía fija, por cuanto ese proyecto no representa un beneficio para la institución, desde la perspectiva financiera, pues los indicadores financieros no alcanzan los parámetros mínimos para catalogar el proyecto como un negocio rentable. Por otra parte, el Presidente del Consejo de la Superintendencia de Telecomunicaciones, informó que esa Superintendencia está desarrollando –con cargo al Fondo Nacional de Telecomunicaciones-, el “Programa de Acceso a Servicio en Comunidades no Conectadas o Sub Conectadas”, el cual tiene como objetivo proveer acceso fijo a los servicios de telefonía e Internet a las comunidades que no tienen acceso adecuado o no resulta financieramente rentable proveerlo; al mismo tiempo, incluye la dotación de esos servicios a Centros de Prestación de Servicios Públicos ubicados en esas comunidades, tales como los centros educativos o los centros comunitarios inteligentes. Indica que la comunidad de Las Parcelas de Zapotal de San Ramón de Alajuela está considera particularmente dentro del proyecto, </w:t>
      </w:r>
      <w:r w:rsidRPr="00021234">
        <w:rPr>
          <w:rFonts w:ascii="Times New Roman" w:eastAsia="Times New Roman" w:hAnsi="Times New Roman" w:cs="Times New Roman"/>
          <w:color w:val="000000"/>
          <w:sz w:val="28"/>
          <w:szCs w:val="28"/>
          <w:lang w:val="en" w:eastAsia="es-CR"/>
        </w:rPr>
        <w:lastRenderedPageBreak/>
        <w:t>para la atención de la Región denominada Gran Área Metropolitana. Agrega que la formulación de esos proyectos está programada para el segundo semestre del 2015, en donde se realizarán visitas de campo, estudios socioeconómicos, técnicos y de mercado para la determinación del área de intervención. Por lo anterior, se planea que pueda promoverse el proyecto durante el primer semestre del 2016. En consecuencia, se aprecia que, a corto o mediano plazo, no existe un proyecto concreto de suministro de telecomunicaciones en la comunidad que reside el recurrente, por lo que, con mayor razón, resulta ilegítima la conducta de las autoridades del Instituto Costarricense de Electricidad, al afectar el derecho fundamental de la tutelada al buen funcionamiento de los servicios públicos. Corolario de las consideraciones realizadas, se impone acoger parcialmente este recurso en cuanto a este aspecto se refiere pero, únicamente, contra las autoridades del Instituto Costarricense de Electricidad, por negarse a dotar de telefonía fija a favor de la comunidad de Las Parcelas de Zapotal. En cuanto a la Superintendencia de Telecomunicaciones, se rechaza el amparo.</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00000"/>
          <w:sz w:val="28"/>
          <w:szCs w:val="28"/>
          <w:lang w:val="en" w:eastAsia="es-CR"/>
        </w:rPr>
        <w:t>En cuanto a la acusada omisión en realizar obras de infraestructura, redacta el Magistrado Castillo Víquez, en los siguientes términos:</w:t>
      </w:r>
    </w:p>
    <w:p w:rsidR="00021234" w:rsidRPr="00021234" w:rsidRDefault="00021234" w:rsidP="00021234">
      <w:pPr>
        <w:shd w:val="clear" w:color="auto" w:fill="FFFFFF"/>
        <w:spacing w:after="0" w:line="300" w:lineRule="atLeast"/>
        <w:ind w:firstLine="680"/>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00000"/>
          <w:sz w:val="28"/>
          <w:szCs w:val="28"/>
          <w:lang w:val="en" w:eastAsia="es-CR"/>
        </w:rPr>
        <w:t>V.- </w:t>
      </w:r>
      <w:r w:rsidRPr="00021234">
        <w:rPr>
          <w:rFonts w:ascii="Times New Roman" w:eastAsia="Times New Roman" w:hAnsi="Times New Roman" w:cs="Times New Roman"/>
          <w:color w:val="000000"/>
          <w:sz w:val="28"/>
          <w:szCs w:val="28"/>
          <w:lang w:val="en" w:eastAsia="es-CR"/>
        </w:rPr>
        <w:t>Sobre este tema, en sentencia No. 2014-000557 de las 09:05 horas del 17 de enero de 2014, este Tribunal se pronunció en los siguientes términos:</w:t>
      </w:r>
    </w:p>
    <w:p w:rsidR="00021234" w:rsidRPr="00021234" w:rsidRDefault="00021234" w:rsidP="00021234">
      <w:pPr>
        <w:shd w:val="clear" w:color="auto" w:fill="FFFFFF"/>
        <w:spacing w:after="0" w:line="300" w:lineRule="atLeast"/>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i/>
          <w:iCs/>
          <w:color w:val="000000"/>
          <w:sz w:val="28"/>
          <w:szCs w:val="28"/>
          <w:lang w:val="en" w:eastAsia="es-CR"/>
        </w:rPr>
        <w:t xml:space="preserve">“(…) Sobre el fondo. En asuntos como el presente, donde se demanda la tutela constitucional ante la afectación que produce en los pobladores la falta de pavimentación de una vía pública, esta Sala los ha estimado al considerar que los ciudadanos tienen derecho de transitar en calles que no levanten polvo y por ende afecten su salud. Véase en sentido, entre otras, la sentencia No. 2011-014193 de las 10:17 hrs del 21 de octubre del 2011. No obstante, en este caso se dan otros supuestos que hacen resolver en forma diferente. En concreto, que desde antes de la interposición de este amparo, la Municipalidad de Nicoya había ordenado la intervención del tramo objeto de ese recurso en la Urbanización Matabuey, mediante oficio No. AM-1671-20134 del 13 de noviembre del 2013, generando la Contratación Directa No. 2013C-000208-01, “Contratación de 15 horas de niveladora para conformación de caminos en urbanización la Matabuey” con una inversión de ¢525.000.00 (quinientos veinticinco mil colones exactos). Lo anterior con el objetivo de mantener el buen estado de esa calle. Así, aunque se niega que esa Administración Municipal hubiese prometido realizar el asfaltado de tal calle, como aseguran los recurrentes, también se informado, bajo la gravedad del juramento, que se encuentra en perfecto estado, lo cual se documenta con </w:t>
      </w:r>
      <w:r w:rsidRPr="00021234">
        <w:rPr>
          <w:rFonts w:ascii="Times New Roman" w:eastAsia="Times New Roman" w:hAnsi="Times New Roman" w:cs="Times New Roman"/>
          <w:i/>
          <w:iCs/>
          <w:color w:val="000000"/>
          <w:sz w:val="28"/>
          <w:szCs w:val="28"/>
          <w:lang w:val="en" w:eastAsia="es-CR"/>
        </w:rPr>
        <w:lastRenderedPageBreak/>
        <w:t>fotografías. Aparte de lo anterior, la Directora del Área Rectora de Salud de Nicoya ha informado que según los registros que se llevan en esa Área Rectora, no consta que se haya recibido denuncia o queja, ya sea por medio escrito o vía telefónica, que haga referencia a los hechos que son objeto del presente recurso de amparo, que estén afectando la salud o la seguridad de los vecinos de la Urbanización Mata Buey. También ha señalado que según el historial y análisis de tendencias de los eventos notificados que tengan que ver con el sector de ese cantón donde se ubica la Urbanización de cita, no se evidencian incidentes en salud pública que se puedan relacionar con los hechos denunciados que les permita llegar a catalogar esa situación como un problema de salud pública que requiera su atención prioritaria para ser abordado institucionalmente. Además no se evidencia que el sector donde dice vive la recurrente, presente incidencia de infecciones respiratorias agudas superiores. Así las cosas, esta Sala no observa una infracción a los derechos fundamentales de los amparados en este sentido, por cuanto se constata que la Municipalidad recurrida sí ha realizado obras de mantenimiento en el referido camino. A lo que se añade que la discusión de fondo que se plantea en el presente amparo, respecto a si resulta procedente -desde el punto de vista técnico- al asfaltado de tal calle o si debe permanecer de lastre, implica un conflicto de legalidad ordinaria cuya resolución excede la naturaleza sumaria del amparo (véase, en similar sentido, sentencia No. 2010-014042 de las 14:32 horas del 24 de agosto del 2010). Por lo que los interesados deberán plantear su disconformidad en la propia sede administrativa, o bien, en la jurisdicción ordinaria correspondiente. A lo anterior se añade la falta de denuncia ante la autoridad sanitaria y la ausencia de estudios que permitan relacionar el problema del polvo con los problemas respiratorios y bronquiales que se dice afecta a los aquí recurrentes. Por consiguiente, el presente recurso de amparo debe ser declarado sin lugar como en efecto se ordena”.</w:t>
      </w:r>
    </w:p>
    <w:p w:rsidR="00021234" w:rsidRPr="00021234" w:rsidRDefault="00021234" w:rsidP="00021234">
      <w:pPr>
        <w:shd w:val="clear" w:color="auto" w:fill="FFFFFF"/>
        <w:spacing w:after="0" w:line="300" w:lineRule="atLeast"/>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color w:val="000000"/>
          <w:sz w:val="28"/>
          <w:szCs w:val="28"/>
          <w:lang w:val="en" w:eastAsia="es-CR"/>
        </w:rPr>
        <w:t>En igual sentido, en sentencia No. 2014-007961 de las 09:15 horas del 6 de junio de 2014, se pronunció así:</w:t>
      </w:r>
    </w:p>
    <w:p w:rsidR="00021234" w:rsidRPr="00021234" w:rsidRDefault="00021234" w:rsidP="00021234">
      <w:pPr>
        <w:shd w:val="clear" w:color="auto" w:fill="FFFFFF"/>
        <w:spacing w:after="0" w:line="300" w:lineRule="atLeast"/>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i/>
          <w:iCs/>
          <w:color w:val="000000"/>
          <w:sz w:val="28"/>
          <w:szCs w:val="28"/>
          <w:lang w:val="en" w:eastAsia="es-CR"/>
        </w:rPr>
        <w:t xml:space="preserve">“...En primer término, se debe advertir que la pretensión de la amparada es improcedente, por cuanto no es competencia de esta Sala ordenar pavimentar la calle que conduce a su vivienda, porque la decisión sobre poner capa asfáltica o de otra naturaleza responderá a los planes municipales, de acuerdo con las prioridades y presupuesto, pues de las exigencias constitucionales de igualdad y no discriminación no puede desprenderse una obligación de la municipalidad para asfaltar una calle en concreto, sino a mantenerlas en buen estado y garantizar la circulación segura para vehículos y peatones. Las personas que deben movilizarse con la ayuda de una silla de </w:t>
      </w:r>
      <w:r w:rsidRPr="00021234">
        <w:rPr>
          <w:rFonts w:ascii="Times New Roman" w:eastAsia="Times New Roman" w:hAnsi="Times New Roman" w:cs="Times New Roman"/>
          <w:i/>
          <w:iCs/>
          <w:color w:val="000000"/>
          <w:sz w:val="28"/>
          <w:szCs w:val="28"/>
          <w:lang w:val="en" w:eastAsia="es-CR"/>
        </w:rPr>
        <w:lastRenderedPageBreak/>
        <w:t>ruedas, no deben hacerlo por la calle, sino por las aceras (…)”.</w:t>
      </w:r>
      <w:r w:rsidRPr="00021234">
        <w:rPr>
          <w:rFonts w:ascii="Times New Roman" w:eastAsia="Times New Roman" w:hAnsi="Times New Roman" w:cs="Times New Roman"/>
          <w:color w:val="000000"/>
          <w:sz w:val="28"/>
          <w:szCs w:val="28"/>
          <w:lang w:val="en" w:eastAsia="es-CR"/>
        </w:rPr>
        <w:t> (Reiterada en sentencia No. 2014-010207 de las 9:05 horas del 27 de junio de 2014).</w:t>
      </w:r>
    </w:p>
    <w:p w:rsidR="00021234" w:rsidRPr="00021234" w:rsidRDefault="00021234" w:rsidP="00021234">
      <w:pPr>
        <w:shd w:val="clear" w:color="auto" w:fill="FFFFFF"/>
        <w:spacing w:after="0" w:line="300" w:lineRule="atLeast"/>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color w:val="000000"/>
          <w:sz w:val="28"/>
          <w:szCs w:val="28"/>
          <w:lang w:val="en" w:eastAsia="es-CR"/>
        </w:rPr>
        <w:t>De igual forma, se pronunció así en sentencia No. 2013-016170 de las 09:05 horas del 6 de diciembre de 2013:</w:t>
      </w:r>
    </w:p>
    <w:p w:rsidR="00021234" w:rsidRPr="00021234" w:rsidRDefault="00021234" w:rsidP="00021234">
      <w:pPr>
        <w:shd w:val="clear" w:color="auto" w:fill="FFFFFF"/>
        <w:spacing w:after="0" w:line="300" w:lineRule="atLeast"/>
        <w:ind w:left="851" w:right="851"/>
        <w:rPr>
          <w:rFonts w:ascii="Arial" w:eastAsia="Times New Roman" w:hAnsi="Arial" w:cs="Arial"/>
          <w:color w:val="000000"/>
          <w:sz w:val="20"/>
          <w:szCs w:val="20"/>
          <w:lang w:eastAsia="es-CR"/>
        </w:rPr>
      </w:pPr>
      <w:r w:rsidRPr="00021234">
        <w:rPr>
          <w:rFonts w:ascii="Arial" w:eastAsia="Times New Roman" w:hAnsi="Arial" w:cs="Arial"/>
          <w:i/>
          <w:iCs/>
          <w:color w:val="000000"/>
          <w:sz w:val="28"/>
          <w:szCs w:val="28"/>
          <w:lang w:val="en" w:eastAsia="es-CR"/>
        </w:rPr>
        <w:t>“(...) Conforme se desprende del elenco de hechos demostrados, la vía que indica el recurrente, si bien, tiene un proceso de desgaste del material que le fue colocado en el 2005, no se encuentra en condiciones de intransitabilidad. De igual manera, el puente sobre esa ruta presenta un desgaste del material superficial no así de la loza (ver sobre estos aspectos, el informe del Jefe de la Unidad de Gestión Vial de la Municipalidad de Nicoya). Ciertamente, no pueden desconocerse las competencias que le corresponde a la Municipalidad de Nicoya respecto del mantenimiento de esta vía cantonal de conformidad con lo dispuesto en el artículo 169 constitucional en el tanto les atribuye a las corporaciones municipales la “administración de los intereses y servicios locales”, lo que ha llevado a esta Sala a estimar numerosos procesos de amparo en los que se reclama que las condiciones de la red vial (nacional o cantonal) ponen en riesgo la vida y la integridad de las personas (especialmente, personas con discapacidad) y obstaculizan su libertad de tránsito (ver, por ejemplo, lo resuelto en el amparo No. 13-5801-0007-CO). No obstante, a pesar de que en el presente asunto, efectivamente, quedaron acreditadas las condiciones de desgaste de la vía, bajo juramento, el Jefe de la Unidad de Gestión Vial de la Municipalidad de Nicoya subrayó que no está intransitable y, además, que no es la única ruta de acceso a Caimital. Además, de los autos, no se desprende que por las condiciones de esa vida exista un riesgo inminente y latente en contra de la vía e integridad de las personas”.</w:t>
      </w:r>
    </w:p>
    <w:p w:rsidR="00021234" w:rsidRPr="00021234" w:rsidRDefault="00021234" w:rsidP="00021234">
      <w:pPr>
        <w:shd w:val="clear" w:color="auto" w:fill="FFFFFF"/>
        <w:spacing w:after="0" w:line="300" w:lineRule="atLeast"/>
        <w:rPr>
          <w:rFonts w:ascii="Arial" w:eastAsia="Times New Roman" w:hAnsi="Arial" w:cs="Arial"/>
          <w:color w:val="000000"/>
          <w:sz w:val="20"/>
          <w:szCs w:val="20"/>
          <w:lang w:eastAsia="es-CR"/>
        </w:rPr>
      </w:pPr>
      <w:r w:rsidRPr="00021234">
        <w:rPr>
          <w:rFonts w:ascii="Arial" w:eastAsia="Times New Roman" w:hAnsi="Arial" w:cs="Arial"/>
          <w:b/>
          <w:bCs/>
          <w:color w:val="000000"/>
          <w:sz w:val="28"/>
          <w:szCs w:val="28"/>
          <w:lang w:val="en" w:eastAsia="es-CR"/>
        </w:rPr>
        <w:t>VI.-</w:t>
      </w:r>
      <w:r w:rsidRPr="00021234">
        <w:rPr>
          <w:rFonts w:ascii="Arial" w:eastAsia="Times New Roman" w:hAnsi="Arial" w:cs="Arial"/>
          <w:color w:val="000000"/>
          <w:sz w:val="20"/>
          <w:szCs w:val="20"/>
          <w:lang w:val="en" w:eastAsia="es-CR"/>
        </w:rPr>
        <w:t> </w:t>
      </w:r>
      <w:r w:rsidRPr="00021234">
        <w:rPr>
          <w:rFonts w:ascii="Arial" w:eastAsia="Times New Roman" w:hAnsi="Arial" w:cs="Arial"/>
          <w:color w:val="000000"/>
          <w:sz w:val="28"/>
          <w:szCs w:val="28"/>
          <w:lang w:val="en" w:eastAsia="es-CR"/>
        </w:rPr>
        <w:t xml:space="preserve">En cuanto a este aspecto, el recurrente acusa que la comunidad de Las Parcelas de Zapotal tiene camino transitable, únicamente, para salir a Miramar pues el que conduce a San Ramón no está lastreado. Indica que, para salir a Miramar, existe una pendiente de casi un kilómetro que no permite el paso de vehículos livianos pues, en verano, hay mucha piedra suelta y, en invierno, el agua daña el </w:t>
      </w:r>
      <w:r w:rsidRPr="00021234">
        <w:rPr>
          <w:rFonts w:ascii="Arial" w:eastAsia="Times New Roman" w:hAnsi="Arial" w:cs="Arial"/>
          <w:color w:val="000000"/>
          <w:sz w:val="28"/>
          <w:szCs w:val="28"/>
          <w:lang w:val="en" w:eastAsia="es-CR"/>
        </w:rPr>
        <w:lastRenderedPageBreak/>
        <w:t>camino. Al respecto, el Alcalde y el Presidente del Concejo de la Municipalidad de Montes de Oro, indican que en el periodo 2013 se intervino el camino Palmital-Zapotal y Zapotal-Jabonal, colocaron lastre para realizar un bacheo localizado en dicho tramo; sin embargo, luego se desmejoró el trabajo realizado. Así que en el año 2014 se intervino el camino en dos distintas ocasiones con el fin de realizar algunas ampliaciones, zanjeos y el bombeo a la superficie de rodamiento, todo para tener un buen desfogue y escurrimiento de aguas pluviales. Finalmente, refieren que está programada la intervención de la zona dentro de los proyectos financiados con los recursos del Banco Interamericano de Desarrollo. Por su parte, el Alcalde y el Presidente del Concejo, ambos de la Municipalidad de San Ramón indican que el área de Las Parcelas de Zapotal se comunica con el casco central de San Ramón a través de dos rutas principales: a) la ruta del Quetzal –ruta nacional 705- y b) parte de la ruta El Quetzal – San Antonio de Zapotal –ruta nacional 742-. Asimismo, indica que ambos caminos se encuentra, en su mayoría, en lastre, por lo que son transitables para vehículos de doble tracción durante todo el año. Igual que en los casos descritos en las sentencias parcialmente citadas, no hay prueba que demuestre la relación entre el estado de la calle y el peligro para la salud de los transeúntes. Tampoco constan denuncias planteadas en ese sentido; y, además, constan acciones concretas de las municipalidades involucradas tendentes a solucionar el problema. Ciertamente, esta Sala no pone en duda la conveniencia de mejorar el estado de la carretera, cunetas y puentes de la zona en cuestió, pero este no es un problema que la corresponda resolver a este Tribunal Constitucional.</w:t>
      </w:r>
    </w:p>
    <w:p w:rsidR="00021234" w:rsidRPr="00021234" w:rsidRDefault="00021234" w:rsidP="00021234">
      <w:pPr>
        <w:shd w:val="clear" w:color="auto" w:fill="FFFFFF"/>
        <w:spacing w:after="0" w:line="300" w:lineRule="atLeast"/>
        <w:ind w:firstLine="680"/>
        <w:rPr>
          <w:rFonts w:ascii="Arial" w:eastAsia="Times New Roman" w:hAnsi="Arial" w:cs="Arial"/>
          <w:color w:val="000000"/>
          <w:sz w:val="20"/>
          <w:szCs w:val="20"/>
          <w:lang w:eastAsia="es-CR"/>
        </w:rPr>
      </w:pPr>
      <w:r w:rsidRPr="00021234">
        <w:rPr>
          <w:rFonts w:ascii="Arial" w:eastAsia="Times New Roman" w:hAnsi="Arial" w:cs="Arial"/>
          <w:b/>
          <w:bCs/>
          <w:color w:val="000000"/>
          <w:sz w:val="28"/>
          <w:szCs w:val="28"/>
          <w:lang w:val="en" w:eastAsia="es-CR"/>
        </w:rPr>
        <w:t>VII.- Nota del Magistrado Cruz Castro y del Magistrado Armijo Sancho, con redacción del primero. El paralelismo de los modelos de servicio. Estado social en telefonía fija, criterio de ganancias, en telefonía celular. </w:t>
      </w:r>
      <w:r w:rsidRPr="00021234">
        <w:rPr>
          <w:rFonts w:ascii="Arial" w:eastAsia="Times New Roman" w:hAnsi="Arial" w:cs="Arial"/>
          <w:color w:val="000000"/>
          <w:sz w:val="28"/>
          <w:szCs w:val="28"/>
          <w:lang w:val="en" w:eastAsia="es-CR"/>
        </w:rPr>
        <w:t xml:space="preserve">Este asunto plantea un interesante contraste, mientras el desarrollo de la telefonía celular se aborda con un fondo, cuya responsabilidad, administración y gestión, no recae sobre la empresa pública y las privadas que brindan el servicio; sin embargo, respecto de la telefonía fija, sí se aplican todos los principios exigibles en un estado social y democrático de derecho. Se asume en el voto que el ICE es el único responsable de llevar la telefonía fija a la comunidad del amparado y como tal es responsable de que el tutelado tenga el derecho de acceder a dicho servicio público e forma eficiente, al igual que cualquier otro habitante de la República. Esto estaría en </w:t>
      </w:r>
      <w:r w:rsidRPr="00021234">
        <w:rPr>
          <w:rFonts w:ascii="Arial" w:eastAsia="Times New Roman" w:hAnsi="Arial" w:cs="Arial"/>
          <w:color w:val="000000"/>
          <w:sz w:val="28"/>
          <w:szCs w:val="28"/>
          <w:lang w:val="en" w:eastAsia="es-CR"/>
        </w:rPr>
        <w:lastRenderedPageBreak/>
        <w:t>consonancia con el artículo 4, de la Ley General de la Administración Pública, que señala: </w:t>
      </w:r>
      <w:r w:rsidRPr="00021234">
        <w:rPr>
          <w:rFonts w:ascii="Arial" w:eastAsia="Times New Roman" w:hAnsi="Arial" w:cs="Arial"/>
          <w:i/>
          <w:iCs/>
          <w:color w:val="000000"/>
          <w:sz w:val="28"/>
          <w:szCs w:val="28"/>
          <w:lang w:val="en" w:eastAsia="es-CR"/>
        </w:rPr>
        <w:t>“La actividad de los entes públicos deberá estar sujeta en su conjunto a los principios fundamentales del servicio público, para asegurar su continuidad, su eficiencia, su adaptación a todo cambio en el régimen legal o en la necesidad social que satisfacen y la igualdad en el trato de los destinatarios, usuarios o beneficiarios”. </w:t>
      </w:r>
      <w:r w:rsidRPr="00021234">
        <w:rPr>
          <w:rFonts w:ascii="Arial" w:eastAsia="Times New Roman" w:hAnsi="Arial" w:cs="Arial"/>
          <w:color w:val="000000"/>
          <w:sz w:val="28"/>
          <w:szCs w:val="28"/>
          <w:lang w:val="en" w:eastAsia="es-CR"/>
        </w:rPr>
        <w:t xml:space="preserve">Dicho numeral, hace referencia al servicio público, el cual se origina en la obligación, que tiene la Administración, de satisfacer adecuadamente las necesidades de los individuos, que componen la colectividad. De modo que, el ICE tiene el deber de asegurar la eficiencia, igualdad, continuidad, calidad, y cobertura en el servicio público de telefonía fija en la zona. Las razones económicas que le impiden a la institución reinstalar y dar mantenimiento a la red telefónica, no es excusa válida, que motive tal decisión. Esta obligación corresponde al marco del Estado Social y Democrático de Derecho, resulta de especial relevancia la administración prestacional, esto es, la prestación efectiva a los administrados y ciudadanos de servicios públicos, para erradicar las desigualdades reales, satisfacer una serie de necesidades colectivas y establecer las condiciones para el ejercicio de una serie de derechos fundamentales. Desde esta perspectiva los principios fundamentales que inspiran los servicios públicos destacan la continuidad, regularidad, eficiencia, eficacia, igualdad y universalidad, estos dos últimos suponen que todos los potenciales usuarios, deben tener las mismas facilidades para acceder a la prestación efectiva de un servicio público, en este caso la telefonía básica, sin que sea posible su denegatoria y que la demanda del servicio, debe ser cubierta eficiente y eficazmente por el Instituto recurrido, pues de lo contrario se limita el desarrollo de una comunidad. Este es el sustento filosófico político que justifica la obligaron impuesta a la institución recurrida, como bien se refleja en este caso, imponiéndole la obligación de brindar el servicio, no importa los costes, mientras que la telefonía celular responde a otros objetivos prioritarios. Se produce así un paralelismo, pues mientras un servicio telefónico tradicional mantiene incólume el estado social y del bienestar, el otro, el del futuro, responde a un enfoque diferente, no tan ajustado al estado social. En el caso de la telefonía fija la prestación del servicio es una obligación ineludible, en el de la telefonía celular, depende de variables económicas que no tienen que asumir las empresas que prestan el servicio. Se aprecia muy claramente el contraste entre un modelo de servicio y el alternativo; en </w:t>
      </w:r>
      <w:r w:rsidRPr="00021234">
        <w:rPr>
          <w:rFonts w:ascii="Arial" w:eastAsia="Times New Roman" w:hAnsi="Arial" w:cs="Arial"/>
          <w:color w:val="000000"/>
          <w:sz w:val="28"/>
          <w:szCs w:val="28"/>
          <w:lang w:val="en" w:eastAsia="es-CR"/>
        </w:rPr>
        <w:lastRenderedPageBreak/>
        <w:t>uno impera la visión solidaria, en el otro, los costos y la ganancia, son determinantes. En el que corresponde al estado social y del bienestar, la institución no tiene excusa, en el del futuro, la institución que presta el servicio telefónico celular, no asume obligaciones que sean consonantes con lo que caracteriza un estado social según la Constitución. El futuro dirá si el genuino estado social y del bienestar es necesario, o si se obtienen mejores resultados con una postergación o debilitamiento de dichas aspiraciones.</w:t>
      </w:r>
    </w:p>
    <w:p w:rsidR="00021234" w:rsidRPr="00021234" w:rsidRDefault="00021234" w:rsidP="00021234">
      <w:pPr>
        <w:shd w:val="clear" w:color="auto" w:fill="FFFFFF"/>
        <w:spacing w:after="0" w:line="300" w:lineRule="atLeast"/>
        <w:ind w:firstLine="680"/>
        <w:rPr>
          <w:rFonts w:ascii="Arial" w:eastAsia="Times New Roman" w:hAnsi="Arial" w:cs="Arial"/>
          <w:color w:val="000000"/>
          <w:sz w:val="20"/>
          <w:szCs w:val="20"/>
          <w:lang w:eastAsia="es-CR"/>
        </w:rPr>
      </w:pPr>
      <w:r w:rsidRPr="00021234">
        <w:rPr>
          <w:rFonts w:ascii="Arial" w:eastAsia="Times New Roman" w:hAnsi="Arial" w:cs="Arial"/>
          <w:b/>
          <w:bCs/>
          <w:color w:val="000000"/>
          <w:sz w:val="28"/>
          <w:szCs w:val="28"/>
          <w:lang w:val="en" w:eastAsia="es-CR"/>
        </w:rPr>
        <w:t>VIII.- Nota separada de la Magistrada Hernández López, respecto a la omisión de realizar obras de infraestructura. </w:t>
      </w:r>
      <w:r w:rsidRPr="00021234">
        <w:rPr>
          <w:rFonts w:ascii="Arial" w:eastAsia="Times New Roman" w:hAnsi="Arial" w:cs="Arial"/>
          <w:color w:val="000000"/>
          <w:sz w:val="28"/>
          <w:szCs w:val="28"/>
          <w:lang w:val="en" w:eastAsia="es-CR"/>
        </w:rPr>
        <w:t>La Constitución Política establece distintas formas de tutelar los derechos de las personas, para lo cual ha creado distintas instancias y niveles de protección. Entre ellos, creó la Jurisdicción Constitucional en su artículo 10, como una instancia especializada, cuyo objeto es “</w:t>
      </w:r>
      <w:r w:rsidRPr="00021234">
        <w:rPr>
          <w:rFonts w:ascii="Arial" w:eastAsia="Times New Roman" w:hAnsi="Arial" w:cs="Arial"/>
          <w:i/>
          <w:iCs/>
          <w:color w:val="000000"/>
          <w:sz w:val="28"/>
          <w:szCs w:val="28"/>
          <w:lang w:val="en" w:eastAsia="es-CR"/>
        </w:rPr>
        <w:t>garantizar la supremacía de las normas y principios constitucionales y del Derecho Internacional o Comunitario vigente en la República, su uniforme interpretación y aplicación, así como los derechos y libertades fundamentales consagrados en la Constitución o en los instrumentos internacionales de derechos humanos vigentes en Costa Rica”</w:t>
      </w:r>
      <w:r w:rsidRPr="00021234">
        <w:rPr>
          <w:rFonts w:ascii="Arial" w:eastAsia="Times New Roman" w:hAnsi="Arial" w:cs="Arial"/>
          <w:color w:val="000000"/>
          <w:sz w:val="26"/>
          <w:szCs w:val="26"/>
          <w:lang w:val="en" w:eastAsia="es-CR"/>
        </w:rPr>
        <w:t> </w:t>
      </w:r>
      <w:r w:rsidRPr="00021234">
        <w:rPr>
          <w:rFonts w:ascii="Arial" w:eastAsia="Times New Roman" w:hAnsi="Arial" w:cs="Arial"/>
          <w:color w:val="000000"/>
          <w:sz w:val="28"/>
          <w:szCs w:val="28"/>
          <w:lang w:val="en" w:eastAsia="es-CR"/>
        </w:rPr>
        <w:t>, (artículo 1 LJC). Por otra parte, ya había creado anteriormente la jurisdicción ordinaria (artículo 153), la jurisdicción laboral (artículo 70) y estableció igualmente, en su artículo 49, la existencia de una jurisdicción contencioso administrativa a la que definió con particular claridad su objeto de: “</w:t>
      </w:r>
      <w:r w:rsidRPr="00021234">
        <w:rPr>
          <w:rFonts w:ascii="Arial" w:eastAsia="Times New Roman" w:hAnsi="Arial" w:cs="Arial"/>
          <w:i/>
          <w:iCs/>
          <w:color w:val="000000"/>
          <w:sz w:val="28"/>
          <w:szCs w:val="28"/>
          <w:lang w:val="en" w:eastAsia="es-CR"/>
        </w:rPr>
        <w:t>de garantizar la legalidad de la función administrativa del Estado, de sus instituciones y de toda otra entidad de derecho público”.</w:t>
      </w:r>
    </w:p>
    <w:p w:rsidR="00021234" w:rsidRPr="00021234" w:rsidRDefault="00021234" w:rsidP="00021234">
      <w:pPr>
        <w:shd w:val="clear" w:color="auto" w:fill="FFFFFF"/>
        <w:spacing w:after="0" w:line="300" w:lineRule="atLeast"/>
        <w:rPr>
          <w:rFonts w:ascii="Arial" w:eastAsia="Times New Roman" w:hAnsi="Arial" w:cs="Arial"/>
          <w:color w:val="000000"/>
          <w:sz w:val="20"/>
          <w:szCs w:val="20"/>
          <w:lang w:eastAsia="es-CR"/>
        </w:rPr>
      </w:pPr>
      <w:r w:rsidRPr="00021234">
        <w:rPr>
          <w:rFonts w:ascii="Arial" w:eastAsia="Times New Roman" w:hAnsi="Arial" w:cs="Arial"/>
          <w:color w:val="000000"/>
          <w:sz w:val="28"/>
          <w:szCs w:val="28"/>
          <w:lang w:val="en" w:eastAsia="es-CR"/>
        </w:rPr>
        <w:t>Prácticamente desde su creación, ha sido un tema prioritario para esta Sala, la determinación de criterios que permitan distribuir de manera apropiada los distintos tipos de reclamos, dando por hecho que el principio de supremacía constitucional no conlleva necesariamente reconocer una competencia omnímoda al órgano designado para protegerla.- Por el contrario un reparto apropiado de labores, que se apegue al texto constitucional apunta a entender que la jurisdicción constitucional debe conocer -según el propósito de su creación-, aquellos aspectos que violen por acción u omisión derechos fundamentales y de la supremacía constitucional, que sean susceptibles de ser conocidos en un proceso muy sumario y de especial naturaleza y urgencia como es el amparo como instituto procesal.</w:t>
      </w:r>
    </w:p>
    <w:p w:rsidR="00021234" w:rsidRPr="00021234" w:rsidRDefault="00021234" w:rsidP="00021234">
      <w:pPr>
        <w:shd w:val="clear" w:color="auto" w:fill="FFFFFF"/>
        <w:spacing w:after="0" w:line="300" w:lineRule="atLeast"/>
        <w:rPr>
          <w:rFonts w:ascii="Arial" w:eastAsia="Times New Roman" w:hAnsi="Arial" w:cs="Arial"/>
          <w:color w:val="000000"/>
          <w:sz w:val="20"/>
          <w:szCs w:val="20"/>
          <w:lang w:eastAsia="es-CR"/>
        </w:rPr>
      </w:pPr>
      <w:r w:rsidRPr="00021234">
        <w:rPr>
          <w:rFonts w:ascii="Arial" w:eastAsia="Times New Roman" w:hAnsi="Arial" w:cs="Arial"/>
          <w:color w:val="000000"/>
          <w:sz w:val="28"/>
          <w:szCs w:val="28"/>
          <w:lang w:val="en" w:eastAsia="es-CR"/>
        </w:rPr>
        <w:lastRenderedPageBreak/>
        <w:t>La inactividad de la administración, como patología capaz de afectar los derechos de las personas, dependiendo de sus efectos y circunstancias, podrá ser discutida en una u otra sede, según su grado de afectación directa a los derechos fundamentales regulados en la Constitución Política o a los tratados internacionales de derechos humanos vigentes de manera que la jurisdicción constitucional no puede, ni debe constituirse en una instancia única que demerite las otras formas de tutela judicial creadas por el constituyente y el legislador.</w:t>
      </w:r>
    </w:p>
    <w:p w:rsidR="00021234" w:rsidRPr="00021234" w:rsidRDefault="00021234" w:rsidP="00021234">
      <w:pPr>
        <w:shd w:val="clear" w:color="auto" w:fill="FFFFFF"/>
        <w:spacing w:after="0" w:line="300" w:lineRule="atLeast"/>
        <w:rPr>
          <w:rFonts w:ascii="Arial" w:eastAsia="Times New Roman" w:hAnsi="Arial" w:cs="Arial"/>
          <w:color w:val="000000"/>
          <w:sz w:val="20"/>
          <w:szCs w:val="20"/>
          <w:lang w:eastAsia="es-CR"/>
        </w:rPr>
      </w:pPr>
      <w:r w:rsidRPr="00021234">
        <w:rPr>
          <w:rFonts w:ascii="Arial" w:eastAsia="Times New Roman" w:hAnsi="Arial" w:cs="Arial"/>
          <w:color w:val="000000"/>
          <w:sz w:val="28"/>
          <w:szCs w:val="28"/>
          <w:lang w:val="en" w:eastAsia="es-CR"/>
        </w:rPr>
        <w:t>De allí que no toda omisión o inactividad del Estado per se, deba ser tutelada en sede constitucional, y en el caso de las omisiones del Estado en la construcción y mantenimiento de infraestructura vial, aceras, puentes y alcantarillas para mencionar algunos ejemplos, o para remediar problemas de aguas pluviales, crecidas y lotes baldíos entre otros, la competencia y tutela de los derechos de los administrados le corresponde a la jurisdicción contencioso administrativa. Ello sin perjuicio de que la Sala conserve sus posibilidades de intervención cuando los reclamos involucren un peligro actual y directo a la salud o la integridad física de las personas, o cuando se trate de la protección, también actual y directa de los derechos de grupos vulnerables como son por ejemplo los discapacitados, los menores o los adultos mayores.</w:t>
      </w:r>
    </w:p>
    <w:p w:rsidR="00021234" w:rsidRPr="00021234" w:rsidRDefault="00021234" w:rsidP="00021234">
      <w:pPr>
        <w:shd w:val="clear" w:color="auto" w:fill="FFFFFF"/>
        <w:spacing w:after="0" w:line="300" w:lineRule="atLeast"/>
        <w:rPr>
          <w:rFonts w:ascii="Arial" w:eastAsia="Times New Roman" w:hAnsi="Arial" w:cs="Arial"/>
          <w:color w:val="000000"/>
          <w:sz w:val="20"/>
          <w:szCs w:val="20"/>
          <w:lang w:eastAsia="es-CR"/>
        </w:rPr>
      </w:pPr>
      <w:r w:rsidRPr="00021234">
        <w:rPr>
          <w:rFonts w:ascii="Arial" w:eastAsia="Times New Roman" w:hAnsi="Arial" w:cs="Arial"/>
          <w:color w:val="000000"/>
          <w:sz w:val="28"/>
          <w:szCs w:val="28"/>
          <w:lang w:val="en" w:eastAsia="es-CR"/>
        </w:rPr>
        <w:t>En el caso en estudio, los elementos probatorios permiten concluir que no estamos en ninguna de las excepciones mencionadas, ni existe motivo alguno que haga necesaria la intervención de la Sala por lo que el recurso debe declararse sin lugar el recurso, tal como se ha hecho, por tratarse de un asunto que debe conocerse en la jurisdicción ordinaria.</w:t>
      </w:r>
    </w:p>
    <w:p w:rsidR="00021234" w:rsidRPr="00021234" w:rsidRDefault="00021234" w:rsidP="00021234">
      <w:pPr>
        <w:shd w:val="clear" w:color="auto" w:fill="FFFFFF"/>
        <w:spacing w:after="0" w:line="300" w:lineRule="atLeast"/>
        <w:ind w:firstLine="680"/>
        <w:rPr>
          <w:rFonts w:ascii="Arial" w:eastAsia="Times New Roman" w:hAnsi="Arial" w:cs="Arial"/>
          <w:color w:val="000000"/>
          <w:sz w:val="20"/>
          <w:szCs w:val="20"/>
          <w:lang w:eastAsia="es-CR"/>
        </w:rPr>
      </w:pPr>
      <w:r w:rsidRPr="00021234">
        <w:rPr>
          <w:rFonts w:ascii="Arial" w:eastAsia="Times New Roman" w:hAnsi="Arial" w:cs="Arial"/>
          <w:b/>
          <w:bCs/>
          <w:color w:val="000000"/>
          <w:sz w:val="28"/>
          <w:szCs w:val="28"/>
          <w:lang w:val="en" w:eastAsia="es-CR"/>
        </w:rPr>
        <w:t>IX.- Razones diferentes del Magistrado Salazar Alvarado, respecto de las obras de infraestructura. </w:t>
      </w:r>
      <w:r w:rsidRPr="00021234">
        <w:rPr>
          <w:rFonts w:ascii="Arial" w:eastAsia="Times New Roman" w:hAnsi="Arial" w:cs="Arial"/>
          <w:color w:val="000000"/>
          <w:sz w:val="28"/>
          <w:szCs w:val="28"/>
          <w:lang w:val="en" w:eastAsia="es-CR"/>
        </w:rPr>
        <w:t xml:space="preserve">He coincidido con la posición sustentada por el Magistrado Jinesta Lobo en esta materia, por lo que considero, en tesis de principio, que los casos relacionados con la inactividad de la Administración Pública en la reparación, construcción, modificación o demolición de cualquier obra de infraestructura, deben ser desestimados, por constituir, esa omisión, un tema de legalidad, cuya discusión corresponde a la jurisdicción ordinaria, ante la cual la persona interesada puede debatir, con mayor amplitud, sus disconformidades. Lo anterior, claro está, excepción hecha de aquellos casos en los que, de la conducta administrativa omisiva, se derive alguna violación a otros derechos fundamentales </w:t>
      </w:r>
      <w:r w:rsidRPr="00021234">
        <w:rPr>
          <w:rFonts w:ascii="Arial" w:eastAsia="Times New Roman" w:hAnsi="Arial" w:cs="Arial"/>
          <w:color w:val="000000"/>
          <w:sz w:val="28"/>
          <w:szCs w:val="28"/>
          <w:lang w:val="en" w:eastAsia="es-CR"/>
        </w:rPr>
        <w:lastRenderedPageBreak/>
        <w:t>tutelados en esta jurisdicción constitucional, o se afecten grupos considerados vulnerables, circunstancias que no se dan en este caso. Por lo anterior, con base en las razones dichas, declaro sin lugar el recurso, en lo que a la acusada omisión en la realización de obras de infraestructura se refiere.</w:t>
      </w:r>
    </w:p>
    <w:p w:rsidR="00021234" w:rsidRPr="00021234" w:rsidRDefault="00021234" w:rsidP="00021234">
      <w:pPr>
        <w:shd w:val="clear" w:color="auto" w:fill="FFFFFF"/>
        <w:spacing w:after="0" w:line="300" w:lineRule="atLeast"/>
        <w:jc w:val="center"/>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b/>
          <w:bCs/>
          <w:color w:val="000000"/>
          <w:sz w:val="28"/>
          <w:szCs w:val="28"/>
          <w:lang w:val="en" w:eastAsia="es-CR"/>
        </w:rPr>
        <w:t>Por tanto:</w:t>
      </w:r>
    </w:p>
    <w:p w:rsidR="00021234" w:rsidRPr="00021234" w:rsidRDefault="00021234" w:rsidP="00021234">
      <w:pPr>
        <w:shd w:val="clear" w:color="auto" w:fill="FFFFFF"/>
        <w:spacing w:line="300" w:lineRule="atLeast"/>
        <w:rPr>
          <w:rFonts w:ascii="Times New Roman" w:eastAsia="Times New Roman" w:hAnsi="Times New Roman" w:cs="Times New Roman"/>
          <w:color w:val="000000"/>
          <w:sz w:val="24"/>
          <w:szCs w:val="24"/>
          <w:lang w:eastAsia="es-CR"/>
        </w:rPr>
      </w:pPr>
      <w:r w:rsidRPr="00021234">
        <w:rPr>
          <w:rFonts w:ascii="Times New Roman" w:eastAsia="Times New Roman" w:hAnsi="Times New Roman" w:cs="Times New Roman"/>
          <w:color w:val="000000"/>
          <w:sz w:val="28"/>
          <w:szCs w:val="28"/>
          <w:lang w:eastAsia="es-CR"/>
        </w:rPr>
        <w:t>Se declara parcialmente con lugar el recurso, únicamente, con respecto al Instituto Costarricense de Electricidad respecto a la omisión de proveer a la Comunidad de Las Parcelas de Zapotal de telefonía fija. En consecuencia, se le ordena a Jaime Palermo Quesada en su condición de Gerente de Telecomunicaciones del Instituto Costarricense de Electricidad, o a quien en su lugar desempeñe el referido cargo, que tome las medidas de su competencia a efecto que en el plazo de tres meses contados a partir de la notificación de la presente resolución se reparen los teléfonos públicos ubicados en la Comunidad de Las Parcelas de Zapotal de San Ramón; y, asimismo, dentro del plazo de seis meses implemente el servicio de telefonía básica residencial en esa comunidad. Lo anterior, bajo la advertencia que, de conformidad con el artículo 71, de la Ley de la Jurisdicción Constitucional, se les impondrá prisión de tres meses a dos años, o de veinte a sesenta días multa, a quien recibiere una orden que deba cumplir o hacer cumplir, dictada en un recurso de amparo y no la cumpliere o no la hiciere cumplir, siempre que el delito no esté más gravemente penado. Se condena al Instituto Costarricense de Electricidad al pago de las costas, daños y perjuicios causados con los hechos que sirven de base a esta declaratoria, los que se liquidarán en ejecución de sentencia de lo contencioso administrativo. En lo demás, se declara sin lugar el recurso. Notifíquese la presente resolución, en forma personal, a Jaime Palermo Quesada en su condición de Gerente de Telecomunicaciones del Instituto Costarricense de Electricidad, o a quien en su lugar desempeñe el referido cargo. Los Magistrados Cruz Castro y Armijo Sancho, ponen nota respecto a la telefonía fija. La Magistrada Hernández López pone nota separada respecto a la omisión de realizar obras de infraestructura. El Magistrado Salazar Alvarado da razones diferentes, únicamente, en relación con la acusada omisión en la realización de obras de infraestructura.</w:t>
      </w:r>
    </w:p>
    <w:tbl>
      <w:tblPr>
        <w:tblW w:w="9360" w:type="dxa"/>
        <w:tblCellMar>
          <w:left w:w="0" w:type="dxa"/>
          <w:right w:w="0" w:type="dxa"/>
        </w:tblCellMar>
        <w:tblLook w:val="04A0" w:firstRow="1" w:lastRow="0" w:firstColumn="1" w:lastColumn="0" w:noHBand="0" w:noVBand="1"/>
      </w:tblPr>
      <w:tblGrid>
        <w:gridCol w:w="3264"/>
        <w:gridCol w:w="2768"/>
        <w:gridCol w:w="3328"/>
      </w:tblGrid>
      <w:tr w:rsidR="00021234" w:rsidRPr="00021234" w:rsidTr="00021234">
        <w:tc>
          <w:tcPr>
            <w:tcW w:w="3060" w:type="dxa"/>
            <w:tcBorders>
              <w:top w:val="single" w:sz="8" w:space="0" w:color="010101"/>
              <w:left w:val="single" w:sz="8" w:space="0" w:color="010101"/>
              <w:bottom w:val="single" w:sz="8" w:space="0" w:color="010101"/>
              <w:right w:val="single" w:sz="8" w:space="0" w:color="010101"/>
            </w:tcBorders>
            <w:shd w:val="clear" w:color="auto" w:fill="auto"/>
            <w:tcMar>
              <w:top w:w="90" w:type="dxa"/>
              <w:left w:w="90" w:type="dxa"/>
              <w:bottom w:w="90" w:type="dxa"/>
              <w:right w:w="90" w:type="dxa"/>
            </w:tcMar>
            <w:hideMark/>
          </w:tcPr>
          <w:p w:rsidR="00021234" w:rsidRPr="00021234" w:rsidRDefault="00021234" w:rsidP="00021234">
            <w:pPr>
              <w:spacing w:after="0" w:line="240" w:lineRule="auto"/>
              <w:rPr>
                <w:rFonts w:ascii="Times New Roman" w:eastAsia="Times New Roman" w:hAnsi="Times New Roman" w:cs="Times New Roman"/>
                <w:color w:val="000000"/>
                <w:sz w:val="24"/>
                <w:szCs w:val="24"/>
                <w:lang w:eastAsia="es-CR"/>
              </w:rPr>
            </w:pPr>
          </w:p>
        </w:tc>
        <w:tc>
          <w:tcPr>
            <w:tcW w:w="2595" w:type="dxa"/>
            <w:tcBorders>
              <w:top w:val="single" w:sz="8" w:space="0" w:color="010101"/>
              <w:left w:val="nil"/>
              <w:bottom w:val="single" w:sz="8" w:space="0" w:color="010101"/>
              <w:right w:val="single" w:sz="8" w:space="0" w:color="010101"/>
            </w:tcBorders>
            <w:shd w:val="clear" w:color="auto" w:fill="auto"/>
            <w:tcMar>
              <w:top w:w="90" w:type="dxa"/>
              <w:left w:w="90" w:type="dxa"/>
              <w:bottom w:w="90" w:type="dxa"/>
              <w:right w:w="90" w:type="dxa"/>
            </w:tcMar>
            <w:hideMark/>
          </w:tcPr>
          <w:p w:rsidR="00021234" w:rsidRPr="00021234" w:rsidRDefault="00021234" w:rsidP="00021234">
            <w:pPr>
              <w:spacing w:after="0" w:line="240" w:lineRule="auto"/>
              <w:jc w:val="center"/>
              <w:rPr>
                <w:rFonts w:ascii="Times New Roman" w:eastAsia="Times New Roman" w:hAnsi="Times New Roman" w:cs="Times New Roman"/>
                <w:sz w:val="24"/>
                <w:szCs w:val="24"/>
                <w:lang w:eastAsia="es-CR"/>
              </w:rPr>
            </w:pPr>
            <w:r w:rsidRPr="00021234">
              <w:rPr>
                <w:rFonts w:ascii="Times New Roman" w:eastAsia="Times New Roman" w:hAnsi="Times New Roman" w:cs="Times New Roman"/>
                <w:sz w:val="24"/>
                <w:szCs w:val="24"/>
                <w:vertAlign w:val="subscript"/>
                <w:lang w:eastAsia="es-CR"/>
              </w:rPr>
              <w:t>Gilbert Armijo S.</w:t>
            </w:r>
          </w:p>
          <w:p w:rsidR="00021234" w:rsidRPr="00021234" w:rsidRDefault="00021234" w:rsidP="00021234">
            <w:pPr>
              <w:spacing w:after="0" w:line="240" w:lineRule="auto"/>
              <w:jc w:val="center"/>
              <w:rPr>
                <w:rFonts w:ascii="Times New Roman" w:eastAsia="Times New Roman" w:hAnsi="Times New Roman" w:cs="Times New Roman"/>
                <w:sz w:val="24"/>
                <w:szCs w:val="24"/>
                <w:lang w:eastAsia="es-CR"/>
              </w:rPr>
            </w:pPr>
            <w:r w:rsidRPr="00021234">
              <w:rPr>
                <w:rFonts w:ascii="Times New Roman" w:eastAsia="Times New Roman" w:hAnsi="Times New Roman" w:cs="Times New Roman"/>
                <w:sz w:val="24"/>
                <w:szCs w:val="24"/>
                <w:vertAlign w:val="subscript"/>
                <w:lang w:eastAsia="es-CR"/>
              </w:rPr>
              <w:t>Presidente</w:t>
            </w:r>
          </w:p>
        </w:tc>
        <w:tc>
          <w:tcPr>
            <w:tcW w:w="3120" w:type="dxa"/>
            <w:tcBorders>
              <w:top w:val="single" w:sz="8" w:space="0" w:color="010101"/>
              <w:left w:val="nil"/>
              <w:bottom w:val="single" w:sz="8" w:space="0" w:color="010101"/>
              <w:right w:val="single" w:sz="8" w:space="0" w:color="010101"/>
            </w:tcBorders>
            <w:shd w:val="clear" w:color="auto" w:fill="auto"/>
            <w:tcMar>
              <w:top w:w="90" w:type="dxa"/>
              <w:left w:w="90" w:type="dxa"/>
              <w:bottom w:w="90" w:type="dxa"/>
              <w:right w:w="90" w:type="dxa"/>
            </w:tcMar>
            <w:hideMark/>
          </w:tcPr>
          <w:p w:rsidR="00021234" w:rsidRPr="00021234" w:rsidRDefault="00021234" w:rsidP="00021234">
            <w:pPr>
              <w:spacing w:after="0" w:line="240" w:lineRule="auto"/>
              <w:rPr>
                <w:rFonts w:ascii="Times New Roman" w:eastAsia="Times New Roman" w:hAnsi="Times New Roman" w:cs="Times New Roman"/>
                <w:sz w:val="24"/>
                <w:szCs w:val="24"/>
                <w:lang w:eastAsia="es-CR"/>
              </w:rPr>
            </w:pPr>
          </w:p>
        </w:tc>
      </w:tr>
      <w:tr w:rsidR="00021234" w:rsidRPr="00021234" w:rsidTr="00021234">
        <w:tc>
          <w:tcPr>
            <w:tcW w:w="3060" w:type="dxa"/>
            <w:tcBorders>
              <w:top w:val="nil"/>
              <w:left w:val="single" w:sz="8" w:space="0" w:color="010101"/>
              <w:bottom w:val="single" w:sz="8" w:space="0" w:color="010101"/>
              <w:right w:val="single" w:sz="8" w:space="0" w:color="010101"/>
            </w:tcBorders>
            <w:shd w:val="clear" w:color="auto" w:fill="auto"/>
            <w:tcMar>
              <w:top w:w="90" w:type="dxa"/>
              <w:left w:w="90" w:type="dxa"/>
              <w:bottom w:w="90" w:type="dxa"/>
              <w:right w:w="90" w:type="dxa"/>
            </w:tcMar>
            <w:hideMark/>
          </w:tcPr>
          <w:p w:rsidR="00021234" w:rsidRPr="00021234" w:rsidRDefault="00021234" w:rsidP="00021234">
            <w:pPr>
              <w:spacing w:after="0" w:line="240" w:lineRule="auto"/>
              <w:jc w:val="center"/>
              <w:rPr>
                <w:rFonts w:ascii="Times New Roman" w:eastAsia="Times New Roman" w:hAnsi="Times New Roman" w:cs="Times New Roman"/>
                <w:sz w:val="24"/>
                <w:szCs w:val="24"/>
                <w:lang w:eastAsia="es-CR"/>
              </w:rPr>
            </w:pPr>
            <w:r w:rsidRPr="00021234">
              <w:rPr>
                <w:rFonts w:ascii="Times New Roman" w:eastAsia="Times New Roman" w:hAnsi="Times New Roman" w:cs="Times New Roman"/>
                <w:sz w:val="24"/>
                <w:szCs w:val="24"/>
                <w:vertAlign w:val="subscript"/>
                <w:lang w:eastAsia="es-CR"/>
              </w:rPr>
              <w:t>Fernando Cruz C.</w:t>
            </w:r>
          </w:p>
        </w:tc>
        <w:tc>
          <w:tcPr>
            <w:tcW w:w="2595" w:type="dxa"/>
            <w:tcBorders>
              <w:top w:val="nil"/>
              <w:left w:val="nil"/>
              <w:bottom w:val="single" w:sz="8" w:space="0" w:color="010101"/>
              <w:right w:val="single" w:sz="8" w:space="0" w:color="010101"/>
            </w:tcBorders>
            <w:shd w:val="clear" w:color="auto" w:fill="auto"/>
            <w:tcMar>
              <w:top w:w="90" w:type="dxa"/>
              <w:left w:w="90" w:type="dxa"/>
              <w:bottom w:w="90" w:type="dxa"/>
              <w:right w:w="90" w:type="dxa"/>
            </w:tcMar>
            <w:hideMark/>
          </w:tcPr>
          <w:p w:rsidR="00021234" w:rsidRPr="00021234" w:rsidRDefault="00021234" w:rsidP="00021234">
            <w:pPr>
              <w:spacing w:after="0" w:line="240" w:lineRule="auto"/>
              <w:rPr>
                <w:rFonts w:ascii="Times New Roman" w:eastAsia="Times New Roman" w:hAnsi="Times New Roman" w:cs="Times New Roman"/>
                <w:sz w:val="24"/>
                <w:szCs w:val="24"/>
                <w:lang w:eastAsia="es-CR"/>
              </w:rPr>
            </w:pPr>
          </w:p>
        </w:tc>
        <w:tc>
          <w:tcPr>
            <w:tcW w:w="3120" w:type="dxa"/>
            <w:tcBorders>
              <w:top w:val="nil"/>
              <w:left w:val="nil"/>
              <w:bottom w:val="single" w:sz="8" w:space="0" w:color="010101"/>
              <w:right w:val="single" w:sz="8" w:space="0" w:color="010101"/>
            </w:tcBorders>
            <w:shd w:val="clear" w:color="auto" w:fill="auto"/>
            <w:tcMar>
              <w:top w:w="90" w:type="dxa"/>
              <w:left w:w="90" w:type="dxa"/>
              <w:bottom w:w="90" w:type="dxa"/>
              <w:right w:w="90" w:type="dxa"/>
            </w:tcMar>
            <w:hideMark/>
          </w:tcPr>
          <w:p w:rsidR="00021234" w:rsidRPr="00021234" w:rsidRDefault="00021234" w:rsidP="00021234">
            <w:pPr>
              <w:spacing w:after="0" w:line="240" w:lineRule="auto"/>
              <w:jc w:val="center"/>
              <w:rPr>
                <w:rFonts w:ascii="Times New Roman" w:eastAsia="Times New Roman" w:hAnsi="Times New Roman" w:cs="Times New Roman"/>
                <w:sz w:val="24"/>
                <w:szCs w:val="24"/>
                <w:lang w:eastAsia="es-CR"/>
              </w:rPr>
            </w:pPr>
            <w:r w:rsidRPr="00021234">
              <w:rPr>
                <w:rFonts w:ascii="Times New Roman" w:eastAsia="Times New Roman" w:hAnsi="Times New Roman" w:cs="Times New Roman"/>
                <w:sz w:val="24"/>
                <w:szCs w:val="24"/>
                <w:vertAlign w:val="subscript"/>
                <w:lang w:eastAsia="es-CR"/>
              </w:rPr>
              <w:t>Fernando Castillo V.</w:t>
            </w:r>
          </w:p>
        </w:tc>
      </w:tr>
      <w:tr w:rsidR="00021234" w:rsidRPr="00021234" w:rsidTr="00021234">
        <w:tc>
          <w:tcPr>
            <w:tcW w:w="3060" w:type="dxa"/>
            <w:tcBorders>
              <w:top w:val="nil"/>
              <w:left w:val="single" w:sz="8" w:space="0" w:color="010101"/>
              <w:bottom w:val="single" w:sz="8" w:space="0" w:color="010101"/>
              <w:right w:val="single" w:sz="8" w:space="0" w:color="010101"/>
            </w:tcBorders>
            <w:shd w:val="clear" w:color="auto" w:fill="auto"/>
            <w:tcMar>
              <w:top w:w="90" w:type="dxa"/>
              <w:left w:w="90" w:type="dxa"/>
              <w:bottom w:w="90" w:type="dxa"/>
              <w:right w:w="90" w:type="dxa"/>
            </w:tcMar>
            <w:hideMark/>
          </w:tcPr>
          <w:p w:rsidR="00021234" w:rsidRPr="00021234" w:rsidRDefault="00021234" w:rsidP="00021234">
            <w:pPr>
              <w:spacing w:after="0" w:line="240" w:lineRule="auto"/>
              <w:jc w:val="center"/>
              <w:rPr>
                <w:rFonts w:ascii="Times New Roman" w:eastAsia="Times New Roman" w:hAnsi="Times New Roman" w:cs="Times New Roman"/>
                <w:sz w:val="24"/>
                <w:szCs w:val="24"/>
                <w:lang w:eastAsia="es-CR"/>
              </w:rPr>
            </w:pPr>
            <w:r w:rsidRPr="00021234">
              <w:rPr>
                <w:rFonts w:ascii="Times New Roman" w:eastAsia="Times New Roman" w:hAnsi="Times New Roman" w:cs="Times New Roman"/>
                <w:sz w:val="24"/>
                <w:szCs w:val="24"/>
                <w:vertAlign w:val="subscript"/>
                <w:lang w:eastAsia="es-CR"/>
              </w:rPr>
              <w:t>Paul Rueda L.</w:t>
            </w:r>
          </w:p>
        </w:tc>
        <w:tc>
          <w:tcPr>
            <w:tcW w:w="2595" w:type="dxa"/>
            <w:tcBorders>
              <w:top w:val="nil"/>
              <w:left w:val="nil"/>
              <w:bottom w:val="single" w:sz="8" w:space="0" w:color="010101"/>
              <w:right w:val="single" w:sz="8" w:space="0" w:color="010101"/>
            </w:tcBorders>
            <w:shd w:val="clear" w:color="auto" w:fill="auto"/>
            <w:tcMar>
              <w:top w:w="90" w:type="dxa"/>
              <w:left w:w="90" w:type="dxa"/>
              <w:bottom w:w="90" w:type="dxa"/>
              <w:right w:w="90" w:type="dxa"/>
            </w:tcMar>
            <w:hideMark/>
          </w:tcPr>
          <w:p w:rsidR="00021234" w:rsidRPr="00021234" w:rsidRDefault="00021234" w:rsidP="00021234">
            <w:pPr>
              <w:spacing w:after="0" w:line="240" w:lineRule="auto"/>
              <w:rPr>
                <w:rFonts w:ascii="Times New Roman" w:eastAsia="Times New Roman" w:hAnsi="Times New Roman" w:cs="Times New Roman"/>
                <w:sz w:val="24"/>
                <w:szCs w:val="24"/>
                <w:lang w:eastAsia="es-CR"/>
              </w:rPr>
            </w:pPr>
          </w:p>
        </w:tc>
        <w:tc>
          <w:tcPr>
            <w:tcW w:w="3120" w:type="dxa"/>
            <w:tcBorders>
              <w:top w:val="nil"/>
              <w:left w:val="nil"/>
              <w:bottom w:val="single" w:sz="8" w:space="0" w:color="010101"/>
              <w:right w:val="single" w:sz="8" w:space="0" w:color="010101"/>
            </w:tcBorders>
            <w:shd w:val="clear" w:color="auto" w:fill="auto"/>
            <w:tcMar>
              <w:top w:w="90" w:type="dxa"/>
              <w:left w:w="90" w:type="dxa"/>
              <w:bottom w:w="90" w:type="dxa"/>
              <w:right w:w="90" w:type="dxa"/>
            </w:tcMar>
            <w:hideMark/>
          </w:tcPr>
          <w:p w:rsidR="00021234" w:rsidRPr="00021234" w:rsidRDefault="00021234" w:rsidP="00021234">
            <w:pPr>
              <w:spacing w:after="0" w:line="240" w:lineRule="auto"/>
              <w:jc w:val="center"/>
              <w:rPr>
                <w:rFonts w:ascii="Times New Roman" w:eastAsia="Times New Roman" w:hAnsi="Times New Roman" w:cs="Times New Roman"/>
                <w:sz w:val="24"/>
                <w:szCs w:val="24"/>
                <w:lang w:eastAsia="es-CR"/>
              </w:rPr>
            </w:pPr>
            <w:r w:rsidRPr="00021234">
              <w:rPr>
                <w:rFonts w:ascii="Times New Roman" w:eastAsia="Times New Roman" w:hAnsi="Times New Roman" w:cs="Times New Roman"/>
                <w:sz w:val="24"/>
                <w:szCs w:val="24"/>
                <w:vertAlign w:val="subscript"/>
                <w:lang w:eastAsia="es-CR"/>
              </w:rPr>
              <w:t>Nancy Hernández L.</w:t>
            </w:r>
          </w:p>
        </w:tc>
      </w:tr>
      <w:tr w:rsidR="00021234" w:rsidRPr="00021234" w:rsidTr="00021234">
        <w:tc>
          <w:tcPr>
            <w:tcW w:w="3060" w:type="dxa"/>
            <w:tcBorders>
              <w:top w:val="nil"/>
              <w:left w:val="single" w:sz="8" w:space="0" w:color="010101"/>
              <w:bottom w:val="single" w:sz="8" w:space="0" w:color="010101"/>
              <w:right w:val="single" w:sz="8" w:space="0" w:color="010101"/>
            </w:tcBorders>
            <w:shd w:val="clear" w:color="auto" w:fill="auto"/>
            <w:tcMar>
              <w:top w:w="90" w:type="dxa"/>
              <w:left w:w="90" w:type="dxa"/>
              <w:bottom w:w="90" w:type="dxa"/>
              <w:right w:w="90" w:type="dxa"/>
            </w:tcMar>
            <w:hideMark/>
          </w:tcPr>
          <w:p w:rsidR="00021234" w:rsidRPr="00021234" w:rsidRDefault="00021234" w:rsidP="00021234">
            <w:pPr>
              <w:spacing w:after="0" w:line="240" w:lineRule="auto"/>
              <w:jc w:val="center"/>
              <w:rPr>
                <w:rFonts w:ascii="Times New Roman" w:eastAsia="Times New Roman" w:hAnsi="Times New Roman" w:cs="Times New Roman"/>
                <w:sz w:val="24"/>
                <w:szCs w:val="24"/>
                <w:lang w:eastAsia="es-CR"/>
              </w:rPr>
            </w:pPr>
            <w:r w:rsidRPr="00021234">
              <w:rPr>
                <w:rFonts w:ascii="Times New Roman" w:eastAsia="Times New Roman" w:hAnsi="Times New Roman" w:cs="Times New Roman"/>
                <w:sz w:val="24"/>
                <w:szCs w:val="24"/>
                <w:vertAlign w:val="subscript"/>
                <w:lang w:eastAsia="es-CR"/>
              </w:rPr>
              <w:t>Luis Fdo. Salazar A.</w:t>
            </w:r>
          </w:p>
        </w:tc>
        <w:tc>
          <w:tcPr>
            <w:tcW w:w="2595" w:type="dxa"/>
            <w:tcBorders>
              <w:top w:val="nil"/>
              <w:left w:val="nil"/>
              <w:bottom w:val="single" w:sz="8" w:space="0" w:color="010101"/>
              <w:right w:val="single" w:sz="8" w:space="0" w:color="010101"/>
            </w:tcBorders>
            <w:shd w:val="clear" w:color="auto" w:fill="auto"/>
            <w:tcMar>
              <w:top w:w="90" w:type="dxa"/>
              <w:left w:w="90" w:type="dxa"/>
              <w:bottom w:w="90" w:type="dxa"/>
              <w:right w:w="90" w:type="dxa"/>
            </w:tcMar>
            <w:hideMark/>
          </w:tcPr>
          <w:p w:rsidR="00021234" w:rsidRPr="00021234" w:rsidRDefault="00021234" w:rsidP="00021234">
            <w:pPr>
              <w:spacing w:after="0" w:line="240" w:lineRule="auto"/>
              <w:rPr>
                <w:rFonts w:ascii="Times New Roman" w:eastAsia="Times New Roman" w:hAnsi="Times New Roman" w:cs="Times New Roman"/>
                <w:sz w:val="24"/>
                <w:szCs w:val="24"/>
                <w:lang w:eastAsia="es-CR"/>
              </w:rPr>
            </w:pPr>
          </w:p>
        </w:tc>
        <w:tc>
          <w:tcPr>
            <w:tcW w:w="3120" w:type="dxa"/>
            <w:tcBorders>
              <w:top w:val="nil"/>
              <w:left w:val="nil"/>
              <w:bottom w:val="single" w:sz="8" w:space="0" w:color="010101"/>
              <w:right w:val="single" w:sz="8" w:space="0" w:color="010101"/>
            </w:tcBorders>
            <w:shd w:val="clear" w:color="auto" w:fill="auto"/>
            <w:tcMar>
              <w:top w:w="90" w:type="dxa"/>
              <w:left w:w="90" w:type="dxa"/>
              <w:bottom w:w="90" w:type="dxa"/>
              <w:right w:w="90" w:type="dxa"/>
            </w:tcMar>
            <w:hideMark/>
          </w:tcPr>
          <w:p w:rsidR="00021234" w:rsidRPr="00021234" w:rsidRDefault="00021234" w:rsidP="00021234">
            <w:pPr>
              <w:spacing w:after="0" w:line="240" w:lineRule="auto"/>
              <w:jc w:val="center"/>
              <w:rPr>
                <w:rFonts w:ascii="Times New Roman" w:eastAsia="Times New Roman" w:hAnsi="Times New Roman" w:cs="Times New Roman"/>
                <w:sz w:val="24"/>
                <w:szCs w:val="24"/>
                <w:lang w:eastAsia="es-CR"/>
              </w:rPr>
            </w:pPr>
            <w:r w:rsidRPr="00021234">
              <w:rPr>
                <w:rFonts w:ascii="Times New Roman" w:eastAsia="Times New Roman" w:hAnsi="Times New Roman" w:cs="Times New Roman"/>
                <w:sz w:val="24"/>
                <w:szCs w:val="24"/>
                <w:vertAlign w:val="subscript"/>
                <w:lang w:eastAsia="es-CR"/>
              </w:rPr>
              <w:t>Alicia Salas T.</w:t>
            </w:r>
          </w:p>
        </w:tc>
      </w:tr>
    </w:tbl>
    <w:p w:rsidR="00021234" w:rsidRPr="00021234" w:rsidRDefault="00021234" w:rsidP="00021234">
      <w:pPr>
        <w:spacing w:line="240" w:lineRule="auto"/>
        <w:jc w:val="center"/>
        <w:rPr>
          <w:rFonts w:ascii="Arial" w:eastAsia="Times New Roman" w:hAnsi="Arial" w:cs="Arial"/>
          <w:b/>
          <w:bCs/>
          <w:color w:val="000000"/>
          <w:sz w:val="24"/>
          <w:szCs w:val="24"/>
          <w:lang w:eastAsia="es-CR"/>
        </w:rPr>
      </w:pPr>
      <w:r w:rsidRPr="00021234">
        <w:rPr>
          <w:rFonts w:ascii="Arial" w:eastAsia="Times New Roman" w:hAnsi="Arial" w:cs="Arial"/>
          <w:b/>
          <w:bCs/>
          <w:color w:val="000000"/>
          <w:sz w:val="24"/>
          <w:szCs w:val="24"/>
          <w:lang w:eastAsia="es-CR"/>
        </w:rPr>
        <w:lastRenderedPageBreak/>
        <w:t>Es copia fiel del original - Tomado del Nexus.PJ el: </w:t>
      </w:r>
      <w:r w:rsidRPr="00021234">
        <w:rPr>
          <w:rFonts w:ascii="Arial" w:eastAsia="Times New Roman" w:hAnsi="Arial" w:cs="Arial"/>
          <w:b/>
          <w:bCs/>
          <w:color w:val="000000"/>
          <w:sz w:val="24"/>
          <w:szCs w:val="24"/>
          <w:u w:val="single"/>
          <w:lang w:eastAsia="es-CR"/>
        </w:rPr>
        <w:t>31-07-2020 19:09:46</w:t>
      </w:r>
      <w:r w:rsidRPr="00021234">
        <w:rPr>
          <w:rFonts w:ascii="Arial" w:eastAsia="Times New Roman" w:hAnsi="Arial" w:cs="Arial"/>
          <w:b/>
          <w:bCs/>
          <w:color w:val="000000"/>
          <w:sz w:val="24"/>
          <w:szCs w:val="24"/>
          <w:lang w:eastAsia="es-CR"/>
        </w:rPr>
        <w:t>.</w:t>
      </w:r>
    </w:p>
    <w:p w:rsidR="00021234" w:rsidRPr="00021234" w:rsidRDefault="00021234" w:rsidP="00021234">
      <w:pPr>
        <w:spacing w:after="0" w:line="240" w:lineRule="auto"/>
        <w:rPr>
          <w:rFonts w:ascii="Times New Roman" w:eastAsia="Times New Roman" w:hAnsi="Times New Roman" w:cs="Times New Roman"/>
          <w:sz w:val="24"/>
          <w:szCs w:val="24"/>
          <w:lang w:eastAsia="es-CR"/>
        </w:rPr>
      </w:pPr>
      <w:hyperlink r:id="rId4" w:tgtFrame="_blank" w:tooltip="Sitio web del SCIJ de Hacienda" w:history="1">
        <w:r w:rsidRPr="00021234">
          <w:rPr>
            <w:rFonts w:ascii="Times New Roman" w:eastAsia="Times New Roman" w:hAnsi="Times New Roman" w:cs="Times New Roman"/>
            <w:color w:val="9EC35D"/>
            <w:sz w:val="24"/>
            <w:szCs w:val="24"/>
            <w:u w:val="single"/>
            <w:lang w:eastAsia="es-CR"/>
          </w:rPr>
          <w:t>SCIJ de Hacienda</w:t>
        </w:r>
      </w:hyperlink>
    </w:p>
    <w:p w:rsidR="00021234" w:rsidRPr="00021234" w:rsidRDefault="00021234" w:rsidP="00021234">
      <w:pPr>
        <w:spacing w:after="0" w:line="240" w:lineRule="auto"/>
        <w:jc w:val="right"/>
        <w:rPr>
          <w:rFonts w:ascii="Times New Roman" w:eastAsia="Times New Roman" w:hAnsi="Times New Roman" w:cs="Times New Roman"/>
          <w:sz w:val="24"/>
          <w:szCs w:val="24"/>
          <w:lang w:eastAsia="es-CR"/>
        </w:rPr>
      </w:pPr>
      <w:hyperlink r:id="rId5" w:tgtFrame="_blank" w:tooltip="Sitio web del SCIJ de la Procuraduría General de la República" w:history="1">
        <w:r w:rsidRPr="00021234">
          <w:rPr>
            <w:rFonts w:ascii="Times New Roman" w:eastAsia="Times New Roman" w:hAnsi="Times New Roman" w:cs="Times New Roman"/>
            <w:color w:val="9EC35D"/>
            <w:sz w:val="24"/>
            <w:szCs w:val="24"/>
            <w:u w:val="single"/>
            <w:lang w:eastAsia="es-CR"/>
          </w:rPr>
          <w:t>SCIJ de la Procuraduría General de la República</w:t>
        </w:r>
      </w:hyperlink>
    </w:p>
    <w:p w:rsidR="00842538" w:rsidRDefault="00842538">
      <w:bookmarkStart w:id="0" w:name="_GoBack"/>
      <w:bookmarkEnd w:id="0"/>
    </w:p>
    <w:sectPr w:rsidR="0084253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WASP 39 L">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234"/>
    <w:rsid w:val="00021234"/>
    <w:rsid w:val="00842538"/>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EE35E5-F7A8-4E94-8ABA-5FFB5DF1E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link w:val="Ttulo2Car"/>
    <w:uiPriority w:val="9"/>
    <w:qFormat/>
    <w:rsid w:val="00021234"/>
    <w:pPr>
      <w:spacing w:before="100" w:beforeAutospacing="1" w:after="100" w:afterAutospacing="1" w:line="240" w:lineRule="auto"/>
      <w:outlineLvl w:val="1"/>
    </w:pPr>
    <w:rPr>
      <w:rFonts w:ascii="Times New Roman" w:eastAsia="Times New Roman" w:hAnsi="Times New Roman" w:cs="Times New Roman"/>
      <w:b/>
      <w:bCs/>
      <w:sz w:val="36"/>
      <w:szCs w:val="36"/>
      <w:lang w:eastAsia="es-CR"/>
    </w:rPr>
  </w:style>
  <w:style w:type="paragraph" w:styleId="Ttulo4">
    <w:name w:val="heading 4"/>
    <w:basedOn w:val="Normal"/>
    <w:link w:val="Ttulo4Car"/>
    <w:uiPriority w:val="9"/>
    <w:qFormat/>
    <w:rsid w:val="00021234"/>
    <w:pPr>
      <w:spacing w:before="100" w:beforeAutospacing="1" w:after="100" w:afterAutospacing="1" w:line="240" w:lineRule="auto"/>
      <w:outlineLvl w:val="3"/>
    </w:pPr>
    <w:rPr>
      <w:rFonts w:ascii="Times New Roman" w:eastAsia="Times New Roman" w:hAnsi="Times New Roman" w:cs="Times New Roman"/>
      <w:b/>
      <w:bCs/>
      <w:sz w:val="24"/>
      <w:szCs w:val="24"/>
      <w:lang w:eastAsia="es-C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021234"/>
    <w:rPr>
      <w:rFonts w:ascii="Times New Roman" w:eastAsia="Times New Roman" w:hAnsi="Times New Roman" w:cs="Times New Roman"/>
      <w:b/>
      <w:bCs/>
      <w:sz w:val="36"/>
      <w:szCs w:val="36"/>
      <w:lang w:eastAsia="es-CR"/>
    </w:rPr>
  </w:style>
  <w:style w:type="character" w:customStyle="1" w:styleId="Ttulo4Car">
    <w:name w:val="Título 4 Car"/>
    <w:basedOn w:val="Fuentedeprrafopredeter"/>
    <w:link w:val="Ttulo4"/>
    <w:uiPriority w:val="9"/>
    <w:rsid w:val="00021234"/>
    <w:rPr>
      <w:rFonts w:ascii="Times New Roman" w:eastAsia="Times New Roman" w:hAnsi="Times New Roman" w:cs="Times New Roman"/>
      <w:b/>
      <w:bCs/>
      <w:sz w:val="24"/>
      <w:szCs w:val="24"/>
      <w:lang w:eastAsia="es-CR"/>
    </w:rPr>
  </w:style>
  <w:style w:type="paragraph" w:customStyle="1" w:styleId="subtitulo-documento">
    <w:name w:val="subtitulo-documento"/>
    <w:basedOn w:val="Normal"/>
    <w:rsid w:val="00021234"/>
    <w:pPr>
      <w:spacing w:before="100" w:beforeAutospacing="1" w:after="100" w:afterAutospacing="1" w:line="240" w:lineRule="auto"/>
    </w:pPr>
    <w:rPr>
      <w:rFonts w:ascii="Times New Roman" w:eastAsia="Times New Roman" w:hAnsi="Times New Roman" w:cs="Times New Roman"/>
      <w:sz w:val="24"/>
      <w:szCs w:val="24"/>
      <w:lang w:eastAsia="es-CR"/>
    </w:rPr>
  </w:style>
  <w:style w:type="paragraph" w:customStyle="1" w:styleId="ng-scope">
    <w:name w:val="ng-scope"/>
    <w:basedOn w:val="Normal"/>
    <w:rsid w:val="00021234"/>
    <w:pPr>
      <w:spacing w:before="100" w:beforeAutospacing="1" w:after="100" w:afterAutospacing="1" w:line="240" w:lineRule="auto"/>
    </w:pPr>
    <w:rPr>
      <w:rFonts w:ascii="Times New Roman" w:eastAsia="Times New Roman" w:hAnsi="Times New Roman" w:cs="Times New Roman"/>
      <w:sz w:val="24"/>
      <w:szCs w:val="24"/>
      <w:lang w:eastAsia="es-CR"/>
    </w:rPr>
  </w:style>
  <w:style w:type="character" w:customStyle="1" w:styleId="informacion-subtitulo">
    <w:name w:val="informacion-subtitulo"/>
    <w:basedOn w:val="Fuentedeprrafopredeter"/>
    <w:rsid w:val="00021234"/>
  </w:style>
  <w:style w:type="character" w:customStyle="1" w:styleId="ng-binding">
    <w:name w:val="ng-binding"/>
    <w:basedOn w:val="Fuentedeprrafopredeter"/>
    <w:rsid w:val="00021234"/>
  </w:style>
  <w:style w:type="paragraph" w:styleId="NormalWeb">
    <w:name w:val="Normal (Web)"/>
    <w:basedOn w:val="Normal"/>
    <w:uiPriority w:val="99"/>
    <w:semiHidden/>
    <w:unhideWhenUsed/>
    <w:rsid w:val="00021234"/>
    <w:pPr>
      <w:spacing w:before="100" w:beforeAutospacing="1" w:after="100" w:afterAutospacing="1" w:line="240" w:lineRule="auto"/>
    </w:pPr>
    <w:rPr>
      <w:rFonts w:ascii="Times New Roman" w:eastAsia="Times New Roman" w:hAnsi="Times New Roman" w:cs="Times New Roman"/>
      <w:sz w:val="24"/>
      <w:szCs w:val="24"/>
      <w:lang w:eastAsia="es-CR"/>
    </w:rPr>
  </w:style>
  <w:style w:type="character" w:styleId="Hipervnculo">
    <w:name w:val="Hyperlink"/>
    <w:basedOn w:val="Fuentedeprrafopredeter"/>
    <w:uiPriority w:val="99"/>
    <w:semiHidden/>
    <w:unhideWhenUsed/>
    <w:rsid w:val="0002123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6176290">
      <w:bodyDiv w:val="1"/>
      <w:marLeft w:val="0"/>
      <w:marRight w:val="0"/>
      <w:marTop w:val="0"/>
      <w:marBottom w:val="0"/>
      <w:divBdr>
        <w:top w:val="none" w:sz="0" w:space="0" w:color="auto"/>
        <w:left w:val="none" w:sz="0" w:space="0" w:color="auto"/>
        <w:bottom w:val="none" w:sz="0" w:space="0" w:color="auto"/>
        <w:right w:val="none" w:sz="0" w:space="0" w:color="auto"/>
      </w:divBdr>
      <w:divsChild>
        <w:div w:id="1280801686">
          <w:marLeft w:val="0"/>
          <w:marRight w:val="0"/>
          <w:marTop w:val="0"/>
          <w:marBottom w:val="0"/>
          <w:divBdr>
            <w:top w:val="none" w:sz="0" w:space="0" w:color="auto"/>
            <w:left w:val="none" w:sz="0" w:space="0" w:color="auto"/>
            <w:bottom w:val="none" w:sz="0" w:space="0" w:color="auto"/>
            <w:right w:val="none" w:sz="0" w:space="0" w:color="auto"/>
          </w:divBdr>
          <w:divsChild>
            <w:div w:id="1960060849">
              <w:marLeft w:val="0"/>
              <w:marRight w:val="0"/>
              <w:marTop w:val="300"/>
              <w:marBottom w:val="0"/>
              <w:divBdr>
                <w:top w:val="none" w:sz="0" w:space="0" w:color="auto"/>
                <w:left w:val="none" w:sz="0" w:space="0" w:color="auto"/>
                <w:bottom w:val="none" w:sz="0" w:space="0" w:color="auto"/>
                <w:right w:val="none" w:sz="0" w:space="0" w:color="auto"/>
              </w:divBdr>
              <w:divsChild>
                <w:div w:id="1284075341">
                  <w:marLeft w:val="0"/>
                  <w:marRight w:val="0"/>
                  <w:marTop w:val="630"/>
                  <w:marBottom w:val="0"/>
                  <w:divBdr>
                    <w:top w:val="none" w:sz="0" w:space="0" w:color="auto"/>
                    <w:left w:val="none" w:sz="0" w:space="0" w:color="auto"/>
                    <w:bottom w:val="none" w:sz="0" w:space="0" w:color="auto"/>
                    <w:right w:val="none" w:sz="0" w:space="0" w:color="auto"/>
                  </w:divBdr>
                  <w:divsChild>
                    <w:div w:id="1515682254">
                      <w:marLeft w:val="0"/>
                      <w:marRight w:val="0"/>
                      <w:marTop w:val="0"/>
                      <w:marBottom w:val="0"/>
                      <w:divBdr>
                        <w:top w:val="none" w:sz="0" w:space="0" w:color="auto"/>
                        <w:left w:val="none" w:sz="0" w:space="0" w:color="auto"/>
                        <w:bottom w:val="none" w:sz="0" w:space="0" w:color="auto"/>
                        <w:right w:val="none" w:sz="0" w:space="0" w:color="auto"/>
                      </w:divBdr>
                      <w:divsChild>
                        <w:div w:id="1904098250">
                          <w:marLeft w:val="0"/>
                          <w:marRight w:val="0"/>
                          <w:marTop w:val="0"/>
                          <w:marBottom w:val="0"/>
                          <w:divBdr>
                            <w:top w:val="none" w:sz="0" w:space="0" w:color="auto"/>
                            <w:left w:val="none" w:sz="0" w:space="0" w:color="auto"/>
                            <w:bottom w:val="none" w:sz="0" w:space="0" w:color="auto"/>
                            <w:right w:val="none" w:sz="0" w:space="0" w:color="auto"/>
                          </w:divBdr>
                          <w:divsChild>
                            <w:div w:id="634525228">
                              <w:marLeft w:val="0"/>
                              <w:marRight w:val="0"/>
                              <w:marTop w:val="0"/>
                              <w:marBottom w:val="360"/>
                              <w:divBdr>
                                <w:top w:val="single" w:sz="12" w:space="12" w:color="85B336"/>
                                <w:left w:val="single" w:sz="12" w:space="12" w:color="85B336"/>
                                <w:bottom w:val="single" w:sz="12" w:space="12" w:color="85B336"/>
                                <w:right w:val="single" w:sz="12" w:space="12" w:color="85B336"/>
                              </w:divBdr>
                              <w:divsChild>
                                <w:div w:id="106318974">
                                  <w:marLeft w:val="0"/>
                                  <w:marRight w:val="0"/>
                                  <w:marTop w:val="240"/>
                                  <w:marBottom w:val="480"/>
                                  <w:divBdr>
                                    <w:top w:val="none" w:sz="0" w:space="0" w:color="auto"/>
                                    <w:left w:val="none" w:sz="0" w:space="0" w:color="auto"/>
                                    <w:bottom w:val="none" w:sz="0" w:space="0" w:color="auto"/>
                                    <w:right w:val="none" w:sz="0" w:space="0" w:color="auto"/>
                                  </w:divBdr>
                                </w:div>
                                <w:div w:id="406077425">
                                  <w:marLeft w:val="0"/>
                                  <w:marRight w:val="0"/>
                                  <w:marTop w:val="240"/>
                                  <w:marBottom w:val="480"/>
                                  <w:divBdr>
                                    <w:top w:val="none" w:sz="0" w:space="0" w:color="auto"/>
                                    <w:left w:val="none" w:sz="0" w:space="0" w:color="auto"/>
                                    <w:bottom w:val="none" w:sz="0" w:space="0" w:color="auto"/>
                                    <w:right w:val="none" w:sz="0" w:space="0" w:color="auto"/>
                                  </w:divBdr>
                                </w:div>
                              </w:divsChild>
                            </w:div>
                            <w:div w:id="315494858">
                              <w:marLeft w:val="0"/>
                              <w:marRight w:val="0"/>
                              <w:marTop w:val="0"/>
                              <w:marBottom w:val="240"/>
                              <w:divBdr>
                                <w:top w:val="single" w:sz="12" w:space="12" w:color="85B336"/>
                                <w:left w:val="single" w:sz="12" w:space="12" w:color="85B336"/>
                                <w:bottom w:val="single" w:sz="12" w:space="12" w:color="85B336"/>
                                <w:right w:val="single" w:sz="12" w:space="12" w:color="85B336"/>
                              </w:divBdr>
                              <w:divsChild>
                                <w:div w:id="1538854313">
                                  <w:marLeft w:val="0"/>
                                  <w:marRight w:val="0"/>
                                  <w:marTop w:val="240"/>
                                  <w:marBottom w:val="480"/>
                                  <w:divBdr>
                                    <w:top w:val="none" w:sz="0" w:space="0" w:color="auto"/>
                                    <w:left w:val="none" w:sz="0" w:space="0" w:color="auto"/>
                                    <w:bottom w:val="none" w:sz="0" w:space="0" w:color="auto"/>
                                    <w:right w:val="none" w:sz="0" w:space="0" w:color="auto"/>
                                  </w:divBdr>
                                  <w:divsChild>
                                    <w:div w:id="60059538">
                                      <w:marLeft w:val="0"/>
                                      <w:marRight w:val="0"/>
                                      <w:marTop w:val="0"/>
                                      <w:marBottom w:val="0"/>
                                      <w:divBdr>
                                        <w:top w:val="none" w:sz="0" w:space="0" w:color="auto"/>
                                        <w:left w:val="none" w:sz="0" w:space="0" w:color="auto"/>
                                        <w:bottom w:val="none" w:sz="0" w:space="0" w:color="auto"/>
                                        <w:right w:val="none" w:sz="0" w:space="0" w:color="auto"/>
                                      </w:divBdr>
                                      <w:divsChild>
                                        <w:div w:id="755589350">
                                          <w:marLeft w:val="0"/>
                                          <w:marRight w:val="0"/>
                                          <w:marTop w:val="0"/>
                                          <w:marBottom w:val="0"/>
                                          <w:divBdr>
                                            <w:top w:val="none" w:sz="0" w:space="0" w:color="auto"/>
                                            <w:left w:val="none" w:sz="0" w:space="0" w:color="auto"/>
                                            <w:bottom w:val="none" w:sz="0" w:space="0" w:color="auto"/>
                                            <w:right w:val="none" w:sz="0" w:space="0" w:color="auto"/>
                                          </w:divBdr>
                                          <w:divsChild>
                                            <w:div w:id="891355947">
                                              <w:marLeft w:val="0"/>
                                              <w:marRight w:val="0"/>
                                              <w:marTop w:val="269"/>
                                              <w:marBottom w:val="269"/>
                                              <w:divBdr>
                                                <w:top w:val="none" w:sz="0" w:space="0" w:color="auto"/>
                                                <w:left w:val="none" w:sz="0" w:space="0" w:color="auto"/>
                                                <w:bottom w:val="none" w:sz="0" w:space="0" w:color="auto"/>
                                                <w:right w:val="none" w:sz="0" w:space="0" w:color="auto"/>
                                              </w:divBdr>
                                            </w:div>
                                            <w:div w:id="360015293">
                                              <w:marLeft w:val="0"/>
                                              <w:marRight w:val="0"/>
                                              <w:marTop w:val="269"/>
                                              <w:marBottom w:val="269"/>
                                              <w:divBdr>
                                                <w:top w:val="none" w:sz="0" w:space="0" w:color="auto"/>
                                                <w:left w:val="none" w:sz="0" w:space="0" w:color="auto"/>
                                                <w:bottom w:val="none" w:sz="0" w:space="0" w:color="auto"/>
                                                <w:right w:val="none" w:sz="0" w:space="0" w:color="auto"/>
                                              </w:divBdr>
                                            </w:div>
                                            <w:div w:id="526067267">
                                              <w:marLeft w:val="0"/>
                                              <w:marRight w:val="0"/>
                                              <w:marTop w:val="269"/>
                                              <w:marBottom w:val="269"/>
                                              <w:divBdr>
                                                <w:top w:val="none" w:sz="0" w:space="0" w:color="auto"/>
                                                <w:left w:val="none" w:sz="0" w:space="0" w:color="auto"/>
                                                <w:bottom w:val="none" w:sz="0" w:space="0" w:color="auto"/>
                                                <w:right w:val="none" w:sz="0" w:space="0" w:color="auto"/>
                                              </w:divBdr>
                                            </w:div>
                                            <w:div w:id="1631589679">
                                              <w:marLeft w:val="0"/>
                                              <w:marRight w:val="0"/>
                                              <w:marTop w:val="269"/>
                                              <w:marBottom w:val="269"/>
                                              <w:divBdr>
                                                <w:top w:val="none" w:sz="0" w:space="0" w:color="auto"/>
                                                <w:left w:val="none" w:sz="0" w:space="0" w:color="auto"/>
                                                <w:bottom w:val="none" w:sz="0" w:space="0" w:color="auto"/>
                                                <w:right w:val="none" w:sz="0" w:space="0" w:color="auto"/>
                                              </w:divBdr>
                                            </w:div>
                                            <w:div w:id="907346494">
                                              <w:marLeft w:val="0"/>
                                              <w:marRight w:val="0"/>
                                              <w:marTop w:val="0"/>
                                              <w:marBottom w:val="0"/>
                                              <w:divBdr>
                                                <w:top w:val="none" w:sz="0" w:space="0" w:color="auto"/>
                                                <w:left w:val="none" w:sz="0" w:space="0" w:color="auto"/>
                                                <w:bottom w:val="none" w:sz="0" w:space="0" w:color="auto"/>
                                                <w:right w:val="none" w:sz="0" w:space="0" w:color="auto"/>
                                              </w:divBdr>
                                            </w:div>
                                            <w:div w:id="147132270">
                                              <w:marLeft w:val="0"/>
                                              <w:marRight w:val="0"/>
                                              <w:marTop w:val="0"/>
                                              <w:marBottom w:val="0"/>
                                              <w:divBdr>
                                                <w:top w:val="none" w:sz="0" w:space="0" w:color="auto"/>
                                                <w:left w:val="none" w:sz="0" w:space="0" w:color="auto"/>
                                                <w:bottom w:val="none" w:sz="0" w:space="0" w:color="auto"/>
                                                <w:right w:val="none" w:sz="0" w:space="0" w:color="auto"/>
                                              </w:divBdr>
                                            </w:div>
                                            <w:div w:id="1859811141">
                                              <w:marLeft w:val="0"/>
                                              <w:marRight w:val="0"/>
                                              <w:marTop w:val="0"/>
                                              <w:marBottom w:val="0"/>
                                              <w:divBdr>
                                                <w:top w:val="none" w:sz="0" w:space="0" w:color="auto"/>
                                                <w:left w:val="none" w:sz="0" w:space="0" w:color="auto"/>
                                                <w:bottom w:val="none" w:sz="0" w:space="0" w:color="auto"/>
                                                <w:right w:val="none" w:sz="0" w:space="0" w:color="auto"/>
                                              </w:divBdr>
                                            </w:div>
                                            <w:div w:id="1042285699">
                                              <w:marLeft w:val="0"/>
                                              <w:marRight w:val="0"/>
                                              <w:marTop w:val="0"/>
                                              <w:marBottom w:val="0"/>
                                              <w:divBdr>
                                                <w:top w:val="none" w:sz="0" w:space="0" w:color="auto"/>
                                                <w:left w:val="none" w:sz="0" w:space="0" w:color="auto"/>
                                                <w:bottom w:val="none" w:sz="0" w:space="0" w:color="auto"/>
                                                <w:right w:val="none" w:sz="0" w:space="0" w:color="auto"/>
                                              </w:divBdr>
                                            </w:div>
                                            <w:div w:id="691954781">
                                              <w:marLeft w:val="0"/>
                                              <w:marRight w:val="0"/>
                                              <w:marTop w:val="0"/>
                                              <w:marBottom w:val="0"/>
                                              <w:divBdr>
                                                <w:top w:val="none" w:sz="0" w:space="0" w:color="auto"/>
                                                <w:left w:val="none" w:sz="0" w:space="0" w:color="auto"/>
                                                <w:bottom w:val="none" w:sz="0" w:space="0" w:color="auto"/>
                                                <w:right w:val="none" w:sz="0" w:space="0" w:color="auto"/>
                                              </w:divBdr>
                                            </w:div>
                                            <w:div w:id="1502698931">
                                              <w:marLeft w:val="0"/>
                                              <w:marRight w:val="0"/>
                                              <w:marTop w:val="0"/>
                                              <w:marBottom w:val="0"/>
                                              <w:divBdr>
                                                <w:top w:val="none" w:sz="0" w:space="0" w:color="auto"/>
                                                <w:left w:val="none" w:sz="0" w:space="0" w:color="auto"/>
                                                <w:bottom w:val="none" w:sz="0" w:space="0" w:color="auto"/>
                                                <w:right w:val="none" w:sz="0" w:space="0" w:color="auto"/>
                                              </w:divBdr>
                                            </w:div>
                                            <w:div w:id="803232072">
                                              <w:marLeft w:val="0"/>
                                              <w:marRight w:val="0"/>
                                              <w:marTop w:val="0"/>
                                              <w:marBottom w:val="0"/>
                                              <w:divBdr>
                                                <w:top w:val="none" w:sz="0" w:space="0" w:color="auto"/>
                                                <w:left w:val="none" w:sz="0" w:space="0" w:color="auto"/>
                                                <w:bottom w:val="none" w:sz="0" w:space="0" w:color="auto"/>
                                                <w:right w:val="none" w:sz="0" w:space="0" w:color="auto"/>
                                              </w:divBdr>
                                            </w:div>
                                            <w:div w:id="1015113700">
                                              <w:marLeft w:val="0"/>
                                              <w:marRight w:val="0"/>
                                              <w:marTop w:val="0"/>
                                              <w:marBottom w:val="0"/>
                                              <w:divBdr>
                                                <w:top w:val="none" w:sz="0" w:space="0" w:color="auto"/>
                                                <w:left w:val="none" w:sz="0" w:space="0" w:color="auto"/>
                                                <w:bottom w:val="none" w:sz="0" w:space="0" w:color="auto"/>
                                                <w:right w:val="none" w:sz="0" w:space="0" w:color="auto"/>
                                              </w:divBdr>
                                            </w:div>
                                            <w:div w:id="1060716761">
                                              <w:marLeft w:val="0"/>
                                              <w:marRight w:val="0"/>
                                              <w:marTop w:val="0"/>
                                              <w:marBottom w:val="0"/>
                                              <w:divBdr>
                                                <w:top w:val="none" w:sz="0" w:space="0" w:color="auto"/>
                                                <w:left w:val="none" w:sz="0" w:space="0" w:color="auto"/>
                                                <w:bottom w:val="none" w:sz="0" w:space="0" w:color="auto"/>
                                                <w:right w:val="none" w:sz="0" w:space="0" w:color="auto"/>
                                              </w:divBdr>
                                            </w:div>
                                            <w:div w:id="1357346756">
                                              <w:marLeft w:val="0"/>
                                              <w:marRight w:val="0"/>
                                              <w:marTop w:val="0"/>
                                              <w:marBottom w:val="0"/>
                                              <w:divBdr>
                                                <w:top w:val="none" w:sz="0" w:space="0" w:color="auto"/>
                                                <w:left w:val="none" w:sz="0" w:space="0" w:color="auto"/>
                                                <w:bottom w:val="none" w:sz="0" w:space="0" w:color="auto"/>
                                                <w:right w:val="none" w:sz="0" w:space="0" w:color="auto"/>
                                              </w:divBdr>
                                            </w:div>
                                            <w:div w:id="1423988585">
                                              <w:marLeft w:val="0"/>
                                              <w:marRight w:val="0"/>
                                              <w:marTop w:val="0"/>
                                              <w:marBottom w:val="0"/>
                                              <w:divBdr>
                                                <w:top w:val="none" w:sz="0" w:space="0" w:color="auto"/>
                                                <w:left w:val="none" w:sz="0" w:space="0" w:color="auto"/>
                                                <w:bottom w:val="none" w:sz="0" w:space="0" w:color="auto"/>
                                                <w:right w:val="none" w:sz="0" w:space="0" w:color="auto"/>
                                              </w:divBdr>
                                            </w:div>
                                            <w:div w:id="1788311623">
                                              <w:marLeft w:val="0"/>
                                              <w:marRight w:val="0"/>
                                              <w:marTop w:val="0"/>
                                              <w:marBottom w:val="0"/>
                                              <w:divBdr>
                                                <w:top w:val="none" w:sz="0" w:space="0" w:color="auto"/>
                                                <w:left w:val="none" w:sz="0" w:space="0" w:color="auto"/>
                                                <w:bottom w:val="none" w:sz="0" w:space="0" w:color="auto"/>
                                                <w:right w:val="none" w:sz="0" w:space="0" w:color="auto"/>
                                              </w:divBdr>
                                            </w:div>
                                            <w:div w:id="1537086675">
                                              <w:marLeft w:val="0"/>
                                              <w:marRight w:val="0"/>
                                              <w:marTop w:val="0"/>
                                              <w:marBottom w:val="0"/>
                                              <w:divBdr>
                                                <w:top w:val="none" w:sz="0" w:space="0" w:color="auto"/>
                                                <w:left w:val="none" w:sz="0" w:space="0" w:color="auto"/>
                                                <w:bottom w:val="none" w:sz="0" w:space="0" w:color="auto"/>
                                                <w:right w:val="none" w:sz="0" w:space="0" w:color="auto"/>
                                              </w:divBdr>
                                            </w:div>
                                            <w:div w:id="277259">
                                              <w:marLeft w:val="0"/>
                                              <w:marRight w:val="0"/>
                                              <w:marTop w:val="0"/>
                                              <w:marBottom w:val="0"/>
                                              <w:divBdr>
                                                <w:top w:val="none" w:sz="0" w:space="0" w:color="auto"/>
                                                <w:left w:val="none" w:sz="0" w:space="0" w:color="auto"/>
                                                <w:bottom w:val="none" w:sz="0" w:space="0" w:color="auto"/>
                                                <w:right w:val="none" w:sz="0" w:space="0" w:color="auto"/>
                                              </w:divBdr>
                                            </w:div>
                                            <w:div w:id="583689800">
                                              <w:marLeft w:val="0"/>
                                              <w:marRight w:val="0"/>
                                              <w:marTop w:val="0"/>
                                              <w:marBottom w:val="0"/>
                                              <w:divBdr>
                                                <w:top w:val="none" w:sz="0" w:space="0" w:color="auto"/>
                                                <w:left w:val="none" w:sz="0" w:space="0" w:color="auto"/>
                                                <w:bottom w:val="none" w:sz="0" w:space="0" w:color="auto"/>
                                                <w:right w:val="none" w:sz="0" w:space="0" w:color="auto"/>
                                              </w:divBdr>
                                            </w:div>
                                            <w:div w:id="169830510">
                                              <w:marLeft w:val="0"/>
                                              <w:marRight w:val="0"/>
                                              <w:marTop w:val="0"/>
                                              <w:marBottom w:val="0"/>
                                              <w:divBdr>
                                                <w:top w:val="none" w:sz="0" w:space="0" w:color="auto"/>
                                                <w:left w:val="none" w:sz="0" w:space="0" w:color="auto"/>
                                                <w:bottom w:val="none" w:sz="0" w:space="0" w:color="auto"/>
                                                <w:right w:val="none" w:sz="0" w:space="0" w:color="auto"/>
                                              </w:divBdr>
                                            </w:div>
                                            <w:div w:id="2011711670">
                                              <w:marLeft w:val="0"/>
                                              <w:marRight w:val="0"/>
                                              <w:marTop w:val="0"/>
                                              <w:marBottom w:val="0"/>
                                              <w:divBdr>
                                                <w:top w:val="none" w:sz="0" w:space="0" w:color="auto"/>
                                                <w:left w:val="none" w:sz="0" w:space="0" w:color="auto"/>
                                                <w:bottom w:val="none" w:sz="0" w:space="0" w:color="auto"/>
                                                <w:right w:val="none" w:sz="0" w:space="0" w:color="auto"/>
                                              </w:divBdr>
                                            </w:div>
                                            <w:div w:id="480772666">
                                              <w:marLeft w:val="0"/>
                                              <w:marRight w:val="0"/>
                                              <w:marTop w:val="0"/>
                                              <w:marBottom w:val="0"/>
                                              <w:divBdr>
                                                <w:top w:val="none" w:sz="0" w:space="0" w:color="auto"/>
                                                <w:left w:val="none" w:sz="0" w:space="0" w:color="auto"/>
                                                <w:bottom w:val="none" w:sz="0" w:space="0" w:color="auto"/>
                                                <w:right w:val="none" w:sz="0" w:space="0" w:color="auto"/>
                                              </w:divBdr>
                                            </w:div>
                                            <w:div w:id="1919249573">
                                              <w:marLeft w:val="0"/>
                                              <w:marRight w:val="0"/>
                                              <w:marTop w:val="0"/>
                                              <w:marBottom w:val="0"/>
                                              <w:divBdr>
                                                <w:top w:val="none" w:sz="0" w:space="0" w:color="auto"/>
                                                <w:left w:val="none" w:sz="0" w:space="0" w:color="auto"/>
                                                <w:bottom w:val="none" w:sz="0" w:space="0" w:color="auto"/>
                                                <w:right w:val="none" w:sz="0" w:space="0" w:color="auto"/>
                                              </w:divBdr>
                                            </w:div>
                                            <w:div w:id="310331195">
                                              <w:marLeft w:val="0"/>
                                              <w:marRight w:val="0"/>
                                              <w:marTop w:val="0"/>
                                              <w:marBottom w:val="0"/>
                                              <w:divBdr>
                                                <w:top w:val="none" w:sz="0" w:space="0" w:color="auto"/>
                                                <w:left w:val="none" w:sz="0" w:space="0" w:color="auto"/>
                                                <w:bottom w:val="none" w:sz="0" w:space="0" w:color="auto"/>
                                                <w:right w:val="none" w:sz="0" w:space="0" w:color="auto"/>
                                              </w:divBdr>
                                            </w:div>
                                            <w:div w:id="1310355353">
                                              <w:marLeft w:val="0"/>
                                              <w:marRight w:val="0"/>
                                              <w:marTop w:val="0"/>
                                              <w:marBottom w:val="0"/>
                                              <w:divBdr>
                                                <w:top w:val="none" w:sz="0" w:space="0" w:color="auto"/>
                                                <w:left w:val="none" w:sz="0" w:space="0" w:color="auto"/>
                                                <w:bottom w:val="none" w:sz="0" w:space="0" w:color="auto"/>
                                                <w:right w:val="none" w:sz="0" w:space="0" w:color="auto"/>
                                              </w:divBdr>
                                            </w:div>
                                            <w:div w:id="2003435565">
                                              <w:marLeft w:val="0"/>
                                              <w:marRight w:val="0"/>
                                              <w:marTop w:val="0"/>
                                              <w:marBottom w:val="0"/>
                                              <w:divBdr>
                                                <w:top w:val="none" w:sz="0" w:space="0" w:color="auto"/>
                                                <w:left w:val="none" w:sz="0" w:space="0" w:color="auto"/>
                                                <w:bottom w:val="none" w:sz="0" w:space="0" w:color="auto"/>
                                                <w:right w:val="none" w:sz="0" w:space="0" w:color="auto"/>
                                              </w:divBdr>
                                            </w:div>
                                            <w:div w:id="1169783880">
                                              <w:marLeft w:val="0"/>
                                              <w:marRight w:val="0"/>
                                              <w:marTop w:val="0"/>
                                              <w:marBottom w:val="0"/>
                                              <w:divBdr>
                                                <w:top w:val="none" w:sz="0" w:space="0" w:color="auto"/>
                                                <w:left w:val="none" w:sz="0" w:space="0" w:color="auto"/>
                                                <w:bottom w:val="none" w:sz="0" w:space="0" w:color="auto"/>
                                                <w:right w:val="none" w:sz="0" w:space="0" w:color="auto"/>
                                              </w:divBdr>
                                            </w:div>
                                            <w:div w:id="19165860">
                                              <w:marLeft w:val="0"/>
                                              <w:marRight w:val="0"/>
                                              <w:marTop w:val="0"/>
                                              <w:marBottom w:val="0"/>
                                              <w:divBdr>
                                                <w:top w:val="none" w:sz="0" w:space="0" w:color="auto"/>
                                                <w:left w:val="none" w:sz="0" w:space="0" w:color="auto"/>
                                                <w:bottom w:val="none" w:sz="0" w:space="0" w:color="auto"/>
                                                <w:right w:val="none" w:sz="0" w:space="0" w:color="auto"/>
                                              </w:divBdr>
                                            </w:div>
                                            <w:div w:id="452094952">
                                              <w:marLeft w:val="0"/>
                                              <w:marRight w:val="0"/>
                                              <w:marTop w:val="0"/>
                                              <w:marBottom w:val="0"/>
                                              <w:divBdr>
                                                <w:top w:val="none" w:sz="0" w:space="0" w:color="auto"/>
                                                <w:left w:val="none" w:sz="0" w:space="0" w:color="auto"/>
                                                <w:bottom w:val="none" w:sz="0" w:space="0" w:color="auto"/>
                                                <w:right w:val="none" w:sz="0" w:space="0" w:color="auto"/>
                                              </w:divBdr>
                                            </w:div>
                                            <w:div w:id="1564170629">
                                              <w:marLeft w:val="0"/>
                                              <w:marRight w:val="0"/>
                                              <w:marTop w:val="269"/>
                                              <w:marBottom w:val="269"/>
                                              <w:divBdr>
                                                <w:top w:val="none" w:sz="0" w:space="0" w:color="auto"/>
                                                <w:left w:val="none" w:sz="0" w:space="0" w:color="auto"/>
                                                <w:bottom w:val="none" w:sz="0" w:space="0" w:color="auto"/>
                                                <w:right w:val="none" w:sz="0" w:space="0" w:color="auto"/>
                                              </w:divBdr>
                                            </w:div>
                                            <w:div w:id="1591961722">
                                              <w:marLeft w:val="0"/>
                                              <w:marRight w:val="0"/>
                                              <w:marTop w:val="0"/>
                                              <w:marBottom w:val="0"/>
                                              <w:divBdr>
                                                <w:top w:val="none" w:sz="0" w:space="0" w:color="auto"/>
                                                <w:left w:val="none" w:sz="0" w:space="0" w:color="auto"/>
                                                <w:bottom w:val="none" w:sz="0" w:space="0" w:color="auto"/>
                                                <w:right w:val="none" w:sz="0" w:space="0" w:color="auto"/>
                                              </w:divBdr>
                                            </w:div>
                                            <w:div w:id="1118570469">
                                              <w:marLeft w:val="0"/>
                                              <w:marRight w:val="0"/>
                                              <w:marTop w:val="0"/>
                                              <w:marBottom w:val="0"/>
                                              <w:divBdr>
                                                <w:top w:val="none" w:sz="0" w:space="0" w:color="auto"/>
                                                <w:left w:val="none" w:sz="0" w:space="0" w:color="auto"/>
                                                <w:bottom w:val="none" w:sz="0" w:space="0" w:color="auto"/>
                                                <w:right w:val="none" w:sz="0" w:space="0" w:color="auto"/>
                                              </w:divBdr>
                                            </w:div>
                                            <w:div w:id="1955477936">
                                              <w:marLeft w:val="0"/>
                                              <w:marRight w:val="0"/>
                                              <w:marTop w:val="0"/>
                                              <w:marBottom w:val="0"/>
                                              <w:divBdr>
                                                <w:top w:val="none" w:sz="0" w:space="0" w:color="auto"/>
                                                <w:left w:val="none" w:sz="0" w:space="0" w:color="auto"/>
                                                <w:bottom w:val="none" w:sz="0" w:space="0" w:color="auto"/>
                                                <w:right w:val="none" w:sz="0" w:space="0" w:color="auto"/>
                                              </w:divBdr>
                                            </w:div>
                                            <w:div w:id="1079131055">
                                              <w:marLeft w:val="0"/>
                                              <w:marRight w:val="0"/>
                                              <w:marTop w:val="0"/>
                                              <w:marBottom w:val="0"/>
                                              <w:divBdr>
                                                <w:top w:val="none" w:sz="0" w:space="0" w:color="auto"/>
                                                <w:left w:val="none" w:sz="0" w:space="0" w:color="auto"/>
                                                <w:bottom w:val="none" w:sz="0" w:space="0" w:color="auto"/>
                                                <w:right w:val="none" w:sz="0" w:space="0" w:color="auto"/>
                                              </w:divBdr>
                                            </w:div>
                                            <w:div w:id="1423258716">
                                              <w:marLeft w:val="0"/>
                                              <w:marRight w:val="0"/>
                                              <w:marTop w:val="0"/>
                                              <w:marBottom w:val="0"/>
                                              <w:divBdr>
                                                <w:top w:val="none" w:sz="0" w:space="0" w:color="auto"/>
                                                <w:left w:val="none" w:sz="0" w:space="0" w:color="auto"/>
                                                <w:bottom w:val="none" w:sz="0" w:space="0" w:color="auto"/>
                                                <w:right w:val="none" w:sz="0" w:space="0" w:color="auto"/>
                                              </w:divBdr>
                                            </w:div>
                                            <w:div w:id="1033769904">
                                              <w:marLeft w:val="0"/>
                                              <w:marRight w:val="0"/>
                                              <w:marTop w:val="0"/>
                                              <w:marBottom w:val="0"/>
                                              <w:divBdr>
                                                <w:top w:val="none" w:sz="0" w:space="0" w:color="auto"/>
                                                <w:left w:val="none" w:sz="0" w:space="0" w:color="auto"/>
                                                <w:bottom w:val="none" w:sz="0" w:space="0" w:color="auto"/>
                                                <w:right w:val="none" w:sz="0" w:space="0" w:color="auto"/>
                                              </w:divBdr>
                                            </w:div>
                                            <w:div w:id="1234312545">
                                              <w:marLeft w:val="0"/>
                                              <w:marRight w:val="0"/>
                                              <w:marTop w:val="0"/>
                                              <w:marBottom w:val="0"/>
                                              <w:divBdr>
                                                <w:top w:val="none" w:sz="0" w:space="0" w:color="auto"/>
                                                <w:left w:val="none" w:sz="0" w:space="0" w:color="auto"/>
                                                <w:bottom w:val="none" w:sz="0" w:space="0" w:color="auto"/>
                                                <w:right w:val="none" w:sz="0" w:space="0" w:color="auto"/>
                                              </w:divBdr>
                                            </w:div>
                                            <w:div w:id="783502096">
                                              <w:marLeft w:val="0"/>
                                              <w:marRight w:val="0"/>
                                              <w:marTop w:val="0"/>
                                              <w:marBottom w:val="0"/>
                                              <w:divBdr>
                                                <w:top w:val="none" w:sz="0" w:space="0" w:color="auto"/>
                                                <w:left w:val="none" w:sz="0" w:space="0" w:color="auto"/>
                                                <w:bottom w:val="none" w:sz="0" w:space="0" w:color="auto"/>
                                                <w:right w:val="none" w:sz="0" w:space="0" w:color="auto"/>
                                              </w:divBdr>
                                            </w:div>
                                            <w:div w:id="1087266999">
                                              <w:marLeft w:val="0"/>
                                              <w:marRight w:val="0"/>
                                              <w:marTop w:val="0"/>
                                              <w:marBottom w:val="0"/>
                                              <w:divBdr>
                                                <w:top w:val="none" w:sz="0" w:space="0" w:color="auto"/>
                                                <w:left w:val="none" w:sz="0" w:space="0" w:color="auto"/>
                                                <w:bottom w:val="none" w:sz="0" w:space="0" w:color="auto"/>
                                                <w:right w:val="none" w:sz="0" w:space="0" w:color="auto"/>
                                              </w:divBdr>
                                            </w:div>
                                            <w:div w:id="1673291082">
                                              <w:marLeft w:val="0"/>
                                              <w:marRight w:val="0"/>
                                              <w:marTop w:val="0"/>
                                              <w:marBottom w:val="0"/>
                                              <w:divBdr>
                                                <w:top w:val="none" w:sz="0" w:space="0" w:color="auto"/>
                                                <w:left w:val="none" w:sz="0" w:space="0" w:color="auto"/>
                                                <w:bottom w:val="none" w:sz="0" w:space="0" w:color="auto"/>
                                                <w:right w:val="none" w:sz="0" w:space="0" w:color="auto"/>
                                              </w:divBdr>
                                            </w:div>
                                            <w:div w:id="1838880521">
                                              <w:marLeft w:val="0"/>
                                              <w:marRight w:val="0"/>
                                              <w:marTop w:val="0"/>
                                              <w:marBottom w:val="0"/>
                                              <w:divBdr>
                                                <w:top w:val="none" w:sz="0" w:space="0" w:color="auto"/>
                                                <w:left w:val="none" w:sz="0" w:space="0" w:color="auto"/>
                                                <w:bottom w:val="none" w:sz="0" w:space="0" w:color="auto"/>
                                                <w:right w:val="none" w:sz="0" w:space="0" w:color="auto"/>
                                              </w:divBdr>
                                            </w:div>
                                            <w:div w:id="1242986108">
                                              <w:marLeft w:val="0"/>
                                              <w:marRight w:val="0"/>
                                              <w:marTop w:val="0"/>
                                              <w:marBottom w:val="0"/>
                                              <w:divBdr>
                                                <w:top w:val="none" w:sz="0" w:space="0" w:color="auto"/>
                                                <w:left w:val="none" w:sz="0" w:space="0" w:color="auto"/>
                                                <w:bottom w:val="none" w:sz="0" w:space="0" w:color="auto"/>
                                                <w:right w:val="none" w:sz="0" w:space="0" w:color="auto"/>
                                              </w:divBdr>
                                            </w:div>
                                            <w:div w:id="495270471">
                                              <w:marLeft w:val="0"/>
                                              <w:marRight w:val="0"/>
                                              <w:marTop w:val="0"/>
                                              <w:marBottom w:val="0"/>
                                              <w:divBdr>
                                                <w:top w:val="none" w:sz="0" w:space="0" w:color="auto"/>
                                                <w:left w:val="none" w:sz="0" w:space="0" w:color="auto"/>
                                                <w:bottom w:val="none" w:sz="0" w:space="0" w:color="auto"/>
                                                <w:right w:val="none" w:sz="0" w:space="0" w:color="auto"/>
                                              </w:divBdr>
                                            </w:div>
                                            <w:div w:id="1573848929">
                                              <w:marLeft w:val="0"/>
                                              <w:marRight w:val="0"/>
                                              <w:marTop w:val="0"/>
                                              <w:marBottom w:val="0"/>
                                              <w:divBdr>
                                                <w:top w:val="none" w:sz="0" w:space="0" w:color="auto"/>
                                                <w:left w:val="none" w:sz="0" w:space="0" w:color="auto"/>
                                                <w:bottom w:val="none" w:sz="0" w:space="0" w:color="auto"/>
                                                <w:right w:val="none" w:sz="0" w:space="0" w:color="auto"/>
                                              </w:divBdr>
                                            </w:div>
                                            <w:div w:id="506289498">
                                              <w:marLeft w:val="0"/>
                                              <w:marRight w:val="0"/>
                                              <w:marTop w:val="0"/>
                                              <w:marBottom w:val="0"/>
                                              <w:divBdr>
                                                <w:top w:val="none" w:sz="0" w:space="0" w:color="auto"/>
                                                <w:left w:val="none" w:sz="0" w:space="0" w:color="auto"/>
                                                <w:bottom w:val="none" w:sz="0" w:space="0" w:color="auto"/>
                                                <w:right w:val="none" w:sz="0" w:space="0" w:color="auto"/>
                                              </w:divBdr>
                                            </w:div>
                                            <w:div w:id="1929194680">
                                              <w:marLeft w:val="0"/>
                                              <w:marRight w:val="0"/>
                                              <w:marTop w:val="0"/>
                                              <w:marBottom w:val="0"/>
                                              <w:divBdr>
                                                <w:top w:val="none" w:sz="0" w:space="0" w:color="auto"/>
                                                <w:left w:val="none" w:sz="0" w:space="0" w:color="auto"/>
                                                <w:bottom w:val="none" w:sz="0" w:space="0" w:color="auto"/>
                                                <w:right w:val="none" w:sz="0" w:space="0" w:color="auto"/>
                                              </w:divBdr>
                                            </w:div>
                                            <w:div w:id="581373209">
                                              <w:marLeft w:val="0"/>
                                              <w:marRight w:val="0"/>
                                              <w:marTop w:val="0"/>
                                              <w:marBottom w:val="0"/>
                                              <w:divBdr>
                                                <w:top w:val="none" w:sz="0" w:space="0" w:color="auto"/>
                                                <w:left w:val="none" w:sz="0" w:space="0" w:color="auto"/>
                                                <w:bottom w:val="none" w:sz="0" w:space="0" w:color="auto"/>
                                                <w:right w:val="none" w:sz="0" w:space="0" w:color="auto"/>
                                              </w:divBdr>
                                            </w:div>
                                            <w:div w:id="209193233">
                                              <w:marLeft w:val="0"/>
                                              <w:marRight w:val="0"/>
                                              <w:marTop w:val="0"/>
                                              <w:marBottom w:val="0"/>
                                              <w:divBdr>
                                                <w:top w:val="none" w:sz="0" w:space="0" w:color="auto"/>
                                                <w:left w:val="none" w:sz="0" w:space="0" w:color="auto"/>
                                                <w:bottom w:val="none" w:sz="0" w:space="0" w:color="auto"/>
                                                <w:right w:val="none" w:sz="0" w:space="0" w:color="auto"/>
                                              </w:divBdr>
                                            </w:div>
                                            <w:div w:id="1752695513">
                                              <w:marLeft w:val="0"/>
                                              <w:marRight w:val="0"/>
                                              <w:marTop w:val="0"/>
                                              <w:marBottom w:val="0"/>
                                              <w:divBdr>
                                                <w:top w:val="none" w:sz="0" w:space="0" w:color="auto"/>
                                                <w:left w:val="none" w:sz="0" w:space="0" w:color="auto"/>
                                                <w:bottom w:val="none" w:sz="0" w:space="0" w:color="auto"/>
                                                <w:right w:val="none" w:sz="0" w:space="0" w:color="auto"/>
                                              </w:divBdr>
                                            </w:div>
                                            <w:div w:id="1214852077">
                                              <w:marLeft w:val="-1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0134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970938267">
          <w:marLeft w:val="0"/>
          <w:marRight w:val="0"/>
          <w:marTop w:val="0"/>
          <w:marBottom w:val="0"/>
          <w:divBdr>
            <w:top w:val="none" w:sz="0" w:space="0" w:color="auto"/>
            <w:left w:val="none" w:sz="0" w:space="0" w:color="auto"/>
            <w:bottom w:val="none" w:sz="0" w:space="0" w:color="auto"/>
            <w:right w:val="none" w:sz="0" w:space="0" w:color="auto"/>
          </w:divBdr>
          <w:divsChild>
            <w:div w:id="477379471">
              <w:marLeft w:val="0"/>
              <w:marRight w:val="0"/>
              <w:marTop w:val="0"/>
              <w:marBottom w:val="0"/>
              <w:divBdr>
                <w:top w:val="none" w:sz="0" w:space="0" w:color="auto"/>
                <w:left w:val="none" w:sz="0" w:space="0" w:color="auto"/>
                <w:bottom w:val="none" w:sz="0" w:space="0" w:color="auto"/>
                <w:right w:val="none" w:sz="0" w:space="0" w:color="auto"/>
              </w:divBdr>
              <w:divsChild>
                <w:div w:id="156147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196.40.56.11/scij/" TargetMode="External"/><Relationship Id="rId4" Type="http://schemas.openxmlformats.org/officeDocument/2006/relationships/hyperlink" Target="http://196.40.56.20/scij_mhda/default.asp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8721</Words>
  <Characters>47971</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2020-08-01T01:10:00Z</dcterms:created>
  <dcterms:modified xsi:type="dcterms:W3CDTF">2020-08-01T01:11:00Z</dcterms:modified>
</cp:coreProperties>
</file>