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e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2E9F26" w14:textId="77777777" w:rsidR="00333D21" w:rsidRDefault="00D31DDB" w:rsidP="00A3126D">
      <w:pPr>
        <w:pStyle w:val="Standard"/>
        <w:spacing w:after="0" w:line="240" w:lineRule="auto"/>
        <w:jc w:val="center"/>
        <w:rPr>
          <w:rFonts w:ascii="Times New Roman" w:hAnsi="Times New Roman" w:cs="Times New Roman"/>
          <w:b/>
          <w:bCs/>
          <w:sz w:val="24"/>
          <w:szCs w:val="24"/>
        </w:rPr>
      </w:pPr>
      <w:r w:rsidRPr="00A3126D">
        <w:rPr>
          <w:rFonts w:ascii="Times New Roman" w:hAnsi="Times New Roman" w:cs="Times New Roman"/>
          <w:b/>
          <w:bCs/>
          <w:sz w:val="24"/>
          <w:szCs w:val="24"/>
        </w:rPr>
        <w:t>U</w:t>
      </w:r>
      <w:r w:rsidR="008E2B90">
        <w:rPr>
          <w:rFonts w:ascii="Times New Roman" w:hAnsi="Times New Roman" w:cs="Times New Roman"/>
          <w:b/>
          <w:bCs/>
          <w:sz w:val="24"/>
          <w:szCs w:val="24"/>
        </w:rPr>
        <w:t>NIVERSIDAD NACIONAL</w:t>
      </w:r>
    </w:p>
    <w:p w14:paraId="4366FB9F" w14:textId="48AB2F2C" w:rsidR="004D3AC2" w:rsidRDefault="008E2B90" w:rsidP="004D3AC2">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CAMPUS OMAR DENGO</w:t>
      </w:r>
    </w:p>
    <w:p w14:paraId="6A3D98D4" w14:textId="15DC13D8" w:rsidR="004D3AC2" w:rsidRDefault="004D3AC2" w:rsidP="004D3AC2">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SISTEMA DE ESTUDIOS DE POSGRADO</w:t>
      </w:r>
    </w:p>
    <w:p w14:paraId="24E8E6AC" w14:textId="6C503565" w:rsidR="00E10342" w:rsidRDefault="008E2B90" w:rsidP="00A3126D">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FACULTAD DE CIENCIAS SOCIALES</w:t>
      </w:r>
    </w:p>
    <w:p w14:paraId="2C4BA76B" w14:textId="2FFE33CE" w:rsidR="008E2B90" w:rsidRDefault="008E2B90" w:rsidP="00A3126D">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ESCUELA DE SOCIOLOGIA</w:t>
      </w:r>
    </w:p>
    <w:p w14:paraId="4C61947E" w14:textId="5F7C4748" w:rsidR="008E2B90" w:rsidRDefault="008E2B90" w:rsidP="00A3126D">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MAESTRIA EN ADMINISTRACION DE JUSTICIA CON ENFOQUE</w:t>
      </w:r>
    </w:p>
    <w:p w14:paraId="3DC77BE2" w14:textId="75C9278F" w:rsidR="008E2B90" w:rsidRDefault="008E2B90" w:rsidP="00A3126D">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SOCIOJURIDICO</w:t>
      </w:r>
    </w:p>
    <w:p w14:paraId="10549209" w14:textId="77777777" w:rsidR="008E2B90" w:rsidRPr="00A3126D" w:rsidRDefault="008E2B90" w:rsidP="00A3126D">
      <w:pPr>
        <w:pStyle w:val="Standard"/>
        <w:spacing w:after="0" w:line="240" w:lineRule="auto"/>
        <w:jc w:val="center"/>
        <w:rPr>
          <w:rFonts w:ascii="Times New Roman" w:hAnsi="Times New Roman" w:cs="Times New Roman"/>
          <w:b/>
          <w:bCs/>
          <w:sz w:val="24"/>
          <w:szCs w:val="24"/>
        </w:rPr>
      </w:pPr>
    </w:p>
    <w:p w14:paraId="57432023" w14:textId="369CB42F" w:rsidR="00A3126D" w:rsidRDefault="00A3126D" w:rsidP="00A3126D">
      <w:pPr>
        <w:pStyle w:val="Standard"/>
        <w:spacing w:after="0" w:line="240" w:lineRule="auto"/>
        <w:jc w:val="center"/>
        <w:rPr>
          <w:rFonts w:ascii="Times New Roman" w:hAnsi="Times New Roman" w:cs="Times New Roman"/>
          <w:b/>
          <w:bCs/>
          <w:sz w:val="24"/>
          <w:szCs w:val="24"/>
        </w:rPr>
      </w:pPr>
    </w:p>
    <w:p w14:paraId="34B93CB3" w14:textId="415A7FC3" w:rsidR="00D93810" w:rsidRDefault="00D93810" w:rsidP="00A3126D">
      <w:pPr>
        <w:pStyle w:val="Standard"/>
        <w:spacing w:after="0" w:line="240" w:lineRule="auto"/>
        <w:jc w:val="center"/>
        <w:rPr>
          <w:rFonts w:ascii="Times New Roman" w:hAnsi="Times New Roman" w:cs="Times New Roman"/>
          <w:b/>
          <w:bCs/>
          <w:sz w:val="24"/>
          <w:szCs w:val="24"/>
        </w:rPr>
      </w:pPr>
    </w:p>
    <w:p w14:paraId="47E4226C" w14:textId="1609671F" w:rsidR="00D93810" w:rsidRDefault="00D93810" w:rsidP="00A3126D">
      <w:pPr>
        <w:pStyle w:val="Standard"/>
        <w:spacing w:after="0" w:line="240" w:lineRule="auto"/>
        <w:jc w:val="center"/>
        <w:rPr>
          <w:rFonts w:ascii="Times New Roman" w:hAnsi="Times New Roman" w:cs="Times New Roman"/>
          <w:b/>
          <w:bCs/>
          <w:sz w:val="24"/>
          <w:szCs w:val="24"/>
        </w:rPr>
      </w:pPr>
    </w:p>
    <w:p w14:paraId="01C5DA98" w14:textId="1E5FB3E4" w:rsidR="00D93810" w:rsidRDefault="00D93810" w:rsidP="00A3126D">
      <w:pPr>
        <w:pStyle w:val="Standard"/>
        <w:spacing w:after="0" w:line="240" w:lineRule="auto"/>
        <w:jc w:val="center"/>
        <w:rPr>
          <w:rFonts w:ascii="Times New Roman" w:hAnsi="Times New Roman" w:cs="Times New Roman"/>
          <w:b/>
          <w:bCs/>
          <w:sz w:val="24"/>
          <w:szCs w:val="24"/>
        </w:rPr>
      </w:pPr>
    </w:p>
    <w:p w14:paraId="5884EDEC" w14:textId="77777777" w:rsidR="00D93810" w:rsidRPr="00A3126D" w:rsidRDefault="00D93810" w:rsidP="00A3126D">
      <w:pPr>
        <w:pStyle w:val="Standard"/>
        <w:spacing w:after="0" w:line="240" w:lineRule="auto"/>
        <w:jc w:val="center"/>
        <w:rPr>
          <w:rFonts w:ascii="Times New Roman" w:hAnsi="Times New Roman" w:cs="Times New Roman"/>
          <w:b/>
          <w:bCs/>
          <w:sz w:val="24"/>
          <w:szCs w:val="24"/>
        </w:rPr>
      </w:pPr>
    </w:p>
    <w:p w14:paraId="64632F0E" w14:textId="77777777" w:rsidR="00E10342" w:rsidRDefault="00E10342" w:rsidP="00A3126D">
      <w:pPr>
        <w:pStyle w:val="Standard"/>
        <w:spacing w:after="0" w:line="240" w:lineRule="auto"/>
        <w:jc w:val="center"/>
        <w:rPr>
          <w:rFonts w:ascii="Times New Roman" w:hAnsi="Times New Roman" w:cs="Times New Roman"/>
          <w:sz w:val="24"/>
          <w:szCs w:val="24"/>
        </w:rPr>
      </w:pPr>
    </w:p>
    <w:p w14:paraId="3772268E" w14:textId="747560E3" w:rsidR="00A3126D" w:rsidRDefault="008E2B90" w:rsidP="006C662B">
      <w:pPr>
        <w:spacing w:line="240" w:lineRule="auto"/>
        <w:ind w:firstLine="0"/>
        <w:jc w:val="center"/>
        <w:rPr>
          <w:rFonts w:cs="Times New Roman"/>
          <w:szCs w:val="24"/>
        </w:rPr>
      </w:pPr>
      <w:r>
        <w:rPr>
          <w:rFonts w:cs="Times New Roman"/>
          <w:szCs w:val="24"/>
        </w:rPr>
        <w:t xml:space="preserve"> TRABAJO FINAL DE GRADUACION PARA OPTAR POR EL GRADO DE MAESTRIA EN ADMINISTRACION DE JUSTICIA CON ENFOQUE SOCIOJURIDICO CON ENFASIS EN MATERIA FAMILIAR</w:t>
      </w:r>
    </w:p>
    <w:p w14:paraId="313DDF2B" w14:textId="77777777" w:rsidR="00A3126D" w:rsidRDefault="00A3126D" w:rsidP="00BC5F08">
      <w:pPr>
        <w:spacing w:line="240" w:lineRule="auto"/>
        <w:ind w:firstLine="0"/>
        <w:jc w:val="center"/>
        <w:rPr>
          <w:rFonts w:cs="Times New Roman"/>
          <w:szCs w:val="24"/>
        </w:rPr>
      </w:pPr>
    </w:p>
    <w:p w14:paraId="2DA73656" w14:textId="77777777" w:rsidR="00A3126D" w:rsidRDefault="00A3126D" w:rsidP="00BC5F08">
      <w:pPr>
        <w:spacing w:line="240" w:lineRule="auto"/>
        <w:ind w:firstLine="0"/>
        <w:jc w:val="center"/>
        <w:rPr>
          <w:rFonts w:cs="Times New Roman"/>
          <w:szCs w:val="24"/>
        </w:rPr>
      </w:pPr>
    </w:p>
    <w:p w14:paraId="02DC4030" w14:textId="77777777" w:rsidR="00A3126D" w:rsidRDefault="00A3126D" w:rsidP="00BC5F08">
      <w:pPr>
        <w:spacing w:line="240" w:lineRule="auto"/>
        <w:ind w:firstLine="0"/>
        <w:jc w:val="center"/>
        <w:rPr>
          <w:rFonts w:cs="Times New Roman"/>
          <w:szCs w:val="24"/>
        </w:rPr>
      </w:pPr>
    </w:p>
    <w:p w14:paraId="569714BA" w14:textId="77777777" w:rsidR="00A3126D" w:rsidRDefault="00A3126D" w:rsidP="00BC5F08">
      <w:pPr>
        <w:spacing w:line="240" w:lineRule="auto"/>
        <w:ind w:firstLine="0"/>
        <w:jc w:val="center"/>
        <w:rPr>
          <w:rFonts w:cs="Times New Roman"/>
          <w:szCs w:val="24"/>
        </w:rPr>
      </w:pPr>
    </w:p>
    <w:p w14:paraId="7D03129D" w14:textId="77777777" w:rsidR="00A3126D" w:rsidRDefault="00A3126D" w:rsidP="00BC5F08">
      <w:pPr>
        <w:spacing w:line="240" w:lineRule="auto"/>
        <w:ind w:firstLine="0"/>
        <w:jc w:val="center"/>
        <w:rPr>
          <w:rFonts w:cs="Times New Roman"/>
          <w:szCs w:val="24"/>
        </w:rPr>
      </w:pPr>
    </w:p>
    <w:p w14:paraId="79EE0938" w14:textId="6F0E604F" w:rsidR="00A3126D" w:rsidRDefault="008E2B90" w:rsidP="00BC5F08">
      <w:pPr>
        <w:spacing w:line="240" w:lineRule="auto"/>
        <w:ind w:firstLine="0"/>
        <w:jc w:val="center"/>
        <w:rPr>
          <w:rFonts w:cs="Times New Roman"/>
          <w:szCs w:val="24"/>
        </w:rPr>
      </w:pPr>
      <w:r>
        <w:rPr>
          <w:rFonts w:cs="Times New Roman"/>
          <w:szCs w:val="24"/>
        </w:rPr>
        <w:t>TITULO</w:t>
      </w:r>
    </w:p>
    <w:p w14:paraId="316884B3" w14:textId="77777777" w:rsidR="00A3126D" w:rsidRDefault="00A3126D" w:rsidP="00BC5F08">
      <w:pPr>
        <w:spacing w:line="240" w:lineRule="auto"/>
        <w:ind w:firstLine="0"/>
        <w:jc w:val="center"/>
        <w:rPr>
          <w:rFonts w:cs="Times New Roman"/>
          <w:szCs w:val="24"/>
        </w:rPr>
      </w:pPr>
    </w:p>
    <w:p w14:paraId="0AF10FD5" w14:textId="67807F8A" w:rsidR="00E10342" w:rsidRDefault="008E2B90" w:rsidP="00A3126D">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VULNERABILIDADES COGNITIVAS EN MUJERES VICTIMAS DE VIOLENCIA INTRAFAMILIAR CON EDADES ENTRE LOS 27 A 35 AÑOS, SUJETAS A ATENCION EN EL JUZGADO CONTRA LA VIOLENCIA DOMESTICA, II CIRCUITO JUDICIAL DE SAN JOSE EN EL PERIODO</w:t>
      </w:r>
      <w:r w:rsidR="001768B3">
        <w:rPr>
          <w:rFonts w:ascii="Times New Roman" w:hAnsi="Times New Roman" w:cs="Times New Roman"/>
          <w:sz w:val="24"/>
          <w:szCs w:val="24"/>
        </w:rPr>
        <w:t xml:space="preserve"> </w:t>
      </w:r>
      <w:r>
        <w:rPr>
          <w:rFonts w:ascii="Times New Roman" w:hAnsi="Times New Roman" w:cs="Times New Roman"/>
          <w:sz w:val="24"/>
          <w:szCs w:val="24"/>
        </w:rPr>
        <w:t>2018-2019</w:t>
      </w:r>
    </w:p>
    <w:p w14:paraId="6BB8E6E6" w14:textId="77777777" w:rsidR="00A3126D" w:rsidRDefault="00A3126D" w:rsidP="00A3126D">
      <w:pPr>
        <w:pStyle w:val="Standard"/>
        <w:spacing w:after="0" w:line="240" w:lineRule="auto"/>
        <w:jc w:val="center"/>
        <w:rPr>
          <w:rFonts w:ascii="Times New Roman" w:hAnsi="Times New Roman" w:cs="Times New Roman"/>
          <w:sz w:val="24"/>
          <w:szCs w:val="24"/>
        </w:rPr>
      </w:pPr>
    </w:p>
    <w:p w14:paraId="5CF912C1" w14:textId="2FC675A3" w:rsidR="00E10342" w:rsidRDefault="00E10342" w:rsidP="00A3126D">
      <w:pPr>
        <w:pStyle w:val="Standard"/>
        <w:spacing w:after="0" w:line="240" w:lineRule="auto"/>
        <w:jc w:val="center"/>
        <w:rPr>
          <w:rFonts w:ascii="Times New Roman" w:hAnsi="Times New Roman" w:cs="Times New Roman"/>
          <w:sz w:val="24"/>
          <w:szCs w:val="24"/>
        </w:rPr>
      </w:pPr>
    </w:p>
    <w:p w14:paraId="6B9BC62E" w14:textId="520EB5FD" w:rsidR="00D93810" w:rsidRDefault="00D93810" w:rsidP="00A3126D">
      <w:pPr>
        <w:pStyle w:val="Standard"/>
        <w:spacing w:after="0" w:line="240" w:lineRule="auto"/>
        <w:jc w:val="center"/>
        <w:rPr>
          <w:rFonts w:ascii="Times New Roman" w:hAnsi="Times New Roman" w:cs="Times New Roman"/>
          <w:sz w:val="24"/>
          <w:szCs w:val="24"/>
        </w:rPr>
      </w:pPr>
    </w:p>
    <w:p w14:paraId="19689EAD" w14:textId="5D9C1EAC" w:rsidR="00D93810" w:rsidRDefault="00D93810" w:rsidP="00A3126D">
      <w:pPr>
        <w:pStyle w:val="Standard"/>
        <w:spacing w:after="0" w:line="240" w:lineRule="auto"/>
        <w:jc w:val="center"/>
        <w:rPr>
          <w:rFonts w:ascii="Times New Roman" w:hAnsi="Times New Roman" w:cs="Times New Roman"/>
          <w:sz w:val="24"/>
          <w:szCs w:val="24"/>
        </w:rPr>
      </w:pPr>
    </w:p>
    <w:p w14:paraId="4951A5CB" w14:textId="5C523982" w:rsidR="00D93810" w:rsidRDefault="00D93810" w:rsidP="00A3126D">
      <w:pPr>
        <w:pStyle w:val="Standard"/>
        <w:spacing w:after="0" w:line="240" w:lineRule="auto"/>
        <w:jc w:val="center"/>
        <w:rPr>
          <w:rFonts w:ascii="Times New Roman" w:hAnsi="Times New Roman" w:cs="Times New Roman"/>
          <w:sz w:val="24"/>
          <w:szCs w:val="24"/>
        </w:rPr>
      </w:pPr>
    </w:p>
    <w:p w14:paraId="5975051E" w14:textId="43AA08A0" w:rsidR="00D93810" w:rsidRDefault="00D93810" w:rsidP="00A3126D">
      <w:pPr>
        <w:pStyle w:val="Standard"/>
        <w:spacing w:after="0" w:line="240" w:lineRule="auto"/>
        <w:jc w:val="center"/>
        <w:rPr>
          <w:rFonts w:ascii="Times New Roman" w:hAnsi="Times New Roman" w:cs="Times New Roman"/>
          <w:sz w:val="24"/>
          <w:szCs w:val="24"/>
        </w:rPr>
      </w:pPr>
    </w:p>
    <w:p w14:paraId="14A91BD0" w14:textId="77777777" w:rsidR="00D93810" w:rsidRDefault="00D93810" w:rsidP="00A3126D">
      <w:pPr>
        <w:pStyle w:val="Standard"/>
        <w:spacing w:after="0" w:line="240" w:lineRule="auto"/>
        <w:jc w:val="center"/>
        <w:rPr>
          <w:rFonts w:ascii="Times New Roman" w:hAnsi="Times New Roman" w:cs="Times New Roman"/>
          <w:sz w:val="24"/>
          <w:szCs w:val="24"/>
        </w:rPr>
      </w:pPr>
    </w:p>
    <w:p w14:paraId="64AFB470" w14:textId="77777777" w:rsidR="00D93810" w:rsidRDefault="00D93810" w:rsidP="00A3126D">
      <w:pPr>
        <w:pStyle w:val="Standard"/>
        <w:spacing w:after="0" w:line="240" w:lineRule="auto"/>
        <w:jc w:val="center"/>
        <w:rPr>
          <w:rFonts w:ascii="Times New Roman" w:hAnsi="Times New Roman" w:cs="Times New Roman"/>
          <w:sz w:val="24"/>
          <w:szCs w:val="24"/>
        </w:rPr>
      </w:pPr>
    </w:p>
    <w:p w14:paraId="493CD314" w14:textId="234DD3A1" w:rsidR="006C662B" w:rsidRDefault="006C662B" w:rsidP="00BC5F08">
      <w:pPr>
        <w:spacing w:line="240" w:lineRule="auto"/>
        <w:ind w:firstLine="0"/>
        <w:jc w:val="center"/>
        <w:rPr>
          <w:rFonts w:cs="Times New Roman"/>
          <w:szCs w:val="24"/>
        </w:rPr>
      </w:pPr>
      <w:r w:rsidRPr="006C662B">
        <w:rPr>
          <w:rFonts w:cs="Times New Roman"/>
          <w:szCs w:val="24"/>
        </w:rPr>
        <w:t>SUSTENTANTE</w:t>
      </w:r>
    </w:p>
    <w:p w14:paraId="7BBC994F" w14:textId="77777777" w:rsidR="00504CD3" w:rsidRDefault="00504CD3" w:rsidP="00BC5F08">
      <w:pPr>
        <w:spacing w:line="240" w:lineRule="auto"/>
        <w:ind w:firstLine="0"/>
        <w:jc w:val="center"/>
        <w:rPr>
          <w:rFonts w:cs="Times New Roman"/>
          <w:szCs w:val="24"/>
        </w:rPr>
      </w:pPr>
    </w:p>
    <w:p w14:paraId="3D3CB58C" w14:textId="706566AE" w:rsidR="006C662B" w:rsidRDefault="006C662B" w:rsidP="00BC5F08">
      <w:pPr>
        <w:spacing w:line="240" w:lineRule="auto"/>
        <w:ind w:firstLine="0"/>
        <w:jc w:val="center"/>
        <w:rPr>
          <w:rFonts w:cs="Times New Roman"/>
          <w:szCs w:val="24"/>
        </w:rPr>
      </w:pPr>
      <w:r w:rsidRPr="006C662B">
        <w:rPr>
          <w:rFonts w:cs="Times New Roman"/>
          <w:szCs w:val="24"/>
        </w:rPr>
        <w:t>LORENA MARIA MC LAREN QUIROS</w:t>
      </w:r>
    </w:p>
    <w:p w14:paraId="7D2108FC" w14:textId="77777777" w:rsidR="00995286" w:rsidRPr="006C662B" w:rsidRDefault="00995286" w:rsidP="00BC5F08">
      <w:pPr>
        <w:spacing w:line="240" w:lineRule="auto"/>
        <w:ind w:firstLine="0"/>
        <w:jc w:val="center"/>
        <w:rPr>
          <w:rFonts w:cs="Times New Roman"/>
          <w:szCs w:val="24"/>
        </w:rPr>
      </w:pPr>
    </w:p>
    <w:p w14:paraId="79EC7BC1" w14:textId="30B8F280" w:rsidR="006C662B" w:rsidRDefault="006C662B" w:rsidP="00BC5F08">
      <w:pPr>
        <w:spacing w:line="240" w:lineRule="auto"/>
        <w:ind w:firstLine="0"/>
        <w:jc w:val="center"/>
        <w:rPr>
          <w:rFonts w:cs="Times New Roman"/>
          <w:szCs w:val="24"/>
        </w:rPr>
      </w:pPr>
      <w:r w:rsidRPr="006C662B">
        <w:rPr>
          <w:rFonts w:cs="Times New Roman"/>
          <w:szCs w:val="24"/>
        </w:rPr>
        <w:t>CÉDULA 1-805-548</w:t>
      </w:r>
    </w:p>
    <w:p w14:paraId="423BE441" w14:textId="0D3A4FA9" w:rsidR="00504CD3" w:rsidRDefault="00504CD3" w:rsidP="00BC5F08">
      <w:pPr>
        <w:spacing w:line="240" w:lineRule="auto"/>
        <w:ind w:firstLine="0"/>
        <w:jc w:val="center"/>
        <w:rPr>
          <w:rFonts w:cs="Times New Roman"/>
          <w:szCs w:val="24"/>
        </w:rPr>
      </w:pPr>
    </w:p>
    <w:p w14:paraId="110EAB90" w14:textId="77777777" w:rsidR="00504CD3" w:rsidRDefault="00504CD3" w:rsidP="00BC5F08">
      <w:pPr>
        <w:spacing w:line="240" w:lineRule="auto"/>
        <w:ind w:firstLine="0"/>
        <w:jc w:val="center"/>
        <w:rPr>
          <w:rFonts w:cs="Times New Roman"/>
          <w:szCs w:val="24"/>
        </w:rPr>
      </w:pPr>
    </w:p>
    <w:p w14:paraId="076D4C05" w14:textId="0040EB98" w:rsidR="00995286" w:rsidRDefault="00995286" w:rsidP="00BC5F08">
      <w:pPr>
        <w:spacing w:line="240" w:lineRule="auto"/>
        <w:ind w:firstLine="0"/>
        <w:jc w:val="center"/>
        <w:rPr>
          <w:rFonts w:cs="Times New Roman"/>
          <w:szCs w:val="24"/>
        </w:rPr>
      </w:pPr>
    </w:p>
    <w:p w14:paraId="559AE156" w14:textId="77777777" w:rsidR="00995286" w:rsidRPr="006C662B" w:rsidRDefault="00995286" w:rsidP="00BC5F08">
      <w:pPr>
        <w:spacing w:line="240" w:lineRule="auto"/>
        <w:ind w:firstLine="0"/>
        <w:jc w:val="center"/>
        <w:rPr>
          <w:rFonts w:cs="Times New Roman"/>
          <w:szCs w:val="24"/>
        </w:rPr>
      </w:pPr>
    </w:p>
    <w:p w14:paraId="69CD3ED3" w14:textId="236F57AD" w:rsidR="006C662B" w:rsidRPr="006C662B" w:rsidRDefault="006C662B" w:rsidP="00BC5F08">
      <w:pPr>
        <w:spacing w:line="240" w:lineRule="auto"/>
        <w:ind w:firstLine="0"/>
        <w:jc w:val="center"/>
        <w:rPr>
          <w:rFonts w:cs="Times New Roman"/>
          <w:szCs w:val="24"/>
        </w:rPr>
      </w:pPr>
      <w:r w:rsidRPr="006C662B">
        <w:rPr>
          <w:rFonts w:cs="Times New Roman"/>
          <w:szCs w:val="24"/>
        </w:rPr>
        <w:t>HEREDIA, COSTA RICA</w:t>
      </w:r>
    </w:p>
    <w:p w14:paraId="01834704" w14:textId="1E4C8C19" w:rsidR="006C662B" w:rsidRDefault="006C662B" w:rsidP="00BC5F08">
      <w:pPr>
        <w:spacing w:line="240" w:lineRule="auto"/>
        <w:ind w:firstLine="0"/>
        <w:jc w:val="center"/>
        <w:rPr>
          <w:rFonts w:cs="Times New Roman"/>
          <w:szCs w:val="24"/>
        </w:rPr>
      </w:pPr>
      <w:r w:rsidRPr="006C662B">
        <w:rPr>
          <w:rFonts w:cs="Times New Roman"/>
          <w:szCs w:val="24"/>
        </w:rPr>
        <w:t>FEBRERO 202</w:t>
      </w:r>
      <w:r>
        <w:rPr>
          <w:rFonts w:cs="Times New Roman"/>
          <w:szCs w:val="24"/>
        </w:rPr>
        <w:t>1</w:t>
      </w:r>
    </w:p>
    <w:p w14:paraId="67FC801F" w14:textId="05417634" w:rsidR="00E10342" w:rsidRPr="005002EF" w:rsidRDefault="00D31DDB" w:rsidP="005002EF">
      <w:pPr>
        <w:pStyle w:val="Standard"/>
        <w:spacing w:after="0" w:line="360" w:lineRule="auto"/>
        <w:jc w:val="center"/>
        <w:rPr>
          <w:rFonts w:ascii="Times New Roman" w:eastAsia="Times New Roman" w:hAnsi="Times New Roman" w:cs="Times New Roman"/>
          <w:b/>
          <w:sz w:val="24"/>
          <w:szCs w:val="24"/>
          <w:lang w:val="es-SV"/>
        </w:rPr>
      </w:pPr>
      <w:r w:rsidRPr="005002EF">
        <w:rPr>
          <w:rFonts w:ascii="Times New Roman" w:eastAsia="Times New Roman" w:hAnsi="Times New Roman" w:cs="Times New Roman"/>
          <w:b/>
          <w:sz w:val="24"/>
          <w:szCs w:val="24"/>
          <w:lang w:val="es-SV"/>
        </w:rPr>
        <w:lastRenderedPageBreak/>
        <w:t>TRIBUNAL EXAMINADOR</w:t>
      </w:r>
    </w:p>
    <w:p w14:paraId="6F94F141" w14:textId="094B5C75" w:rsidR="00B053B7" w:rsidRPr="00F829F4" w:rsidRDefault="00B053B7" w:rsidP="005002EF">
      <w:pPr>
        <w:pStyle w:val="Standard"/>
        <w:spacing w:after="0" w:line="360" w:lineRule="auto"/>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s-SV"/>
        </w:rPr>
        <w:t xml:space="preserve">Tribunal Examinador integrado para la presentación del trabajo final de graduación realizado por </w:t>
      </w:r>
      <w:r>
        <w:rPr>
          <w:rFonts w:ascii="Times New Roman" w:hAnsi="Times New Roman" w:cs="Times New Roman"/>
          <w:sz w:val="24"/>
          <w:szCs w:val="24"/>
        </w:rPr>
        <w:t>Lorena Ma. Mc</w:t>
      </w:r>
      <w:r w:rsidR="00957B86">
        <w:rPr>
          <w:rFonts w:ascii="Times New Roman" w:hAnsi="Times New Roman" w:cs="Times New Roman"/>
          <w:sz w:val="24"/>
          <w:szCs w:val="24"/>
        </w:rPr>
        <w:t xml:space="preserve"> </w:t>
      </w:r>
      <w:proofErr w:type="spellStart"/>
      <w:r>
        <w:rPr>
          <w:rFonts w:ascii="Times New Roman" w:hAnsi="Times New Roman" w:cs="Times New Roman"/>
          <w:sz w:val="24"/>
          <w:szCs w:val="24"/>
        </w:rPr>
        <w:t>Laren</w:t>
      </w:r>
      <w:proofErr w:type="spellEnd"/>
      <w:r>
        <w:rPr>
          <w:rFonts w:ascii="Times New Roman" w:hAnsi="Times New Roman" w:cs="Times New Roman"/>
          <w:sz w:val="24"/>
          <w:szCs w:val="24"/>
        </w:rPr>
        <w:t xml:space="preserve"> Quirós para optar por el grado de Magíster en Administració</w:t>
      </w:r>
      <w:r w:rsidR="00F829F4">
        <w:rPr>
          <w:rFonts w:ascii="Times New Roman" w:hAnsi="Times New Roman" w:cs="Times New Roman"/>
          <w:sz w:val="24"/>
          <w:szCs w:val="24"/>
        </w:rPr>
        <w:t xml:space="preserve">n en Justicia con enfoque </w:t>
      </w:r>
      <w:proofErr w:type="spellStart"/>
      <w:r w:rsidR="00F829F4">
        <w:rPr>
          <w:rFonts w:ascii="Times New Roman" w:hAnsi="Times New Roman" w:cs="Times New Roman"/>
          <w:sz w:val="24"/>
          <w:szCs w:val="24"/>
        </w:rPr>
        <w:t>socio</w:t>
      </w:r>
      <w:r>
        <w:rPr>
          <w:rFonts w:ascii="Times New Roman" w:hAnsi="Times New Roman" w:cs="Times New Roman"/>
          <w:sz w:val="24"/>
          <w:szCs w:val="24"/>
        </w:rPr>
        <w:t>jurídico</w:t>
      </w:r>
      <w:proofErr w:type="spellEnd"/>
    </w:p>
    <w:p w14:paraId="25371CD5" w14:textId="77777777" w:rsidR="005002EF" w:rsidRPr="001A5917" w:rsidRDefault="005002EF" w:rsidP="005002EF">
      <w:pPr>
        <w:spacing w:line="240" w:lineRule="auto"/>
        <w:jc w:val="center"/>
        <w:rPr>
          <w:rFonts w:cs="Times New Roman"/>
          <w:szCs w:val="24"/>
        </w:rPr>
      </w:pPr>
    </w:p>
    <w:p w14:paraId="4E59D8DE" w14:textId="77777777" w:rsidR="005002EF" w:rsidRDefault="005002EF" w:rsidP="005002EF">
      <w:pPr>
        <w:spacing w:line="240" w:lineRule="auto"/>
        <w:jc w:val="center"/>
        <w:rPr>
          <w:rFonts w:cs="Times New Roman"/>
          <w:szCs w:val="24"/>
        </w:rPr>
      </w:pPr>
    </w:p>
    <w:p w14:paraId="67E18D0B" w14:textId="77777777" w:rsidR="005002EF" w:rsidRPr="00C222E9" w:rsidRDefault="005002EF" w:rsidP="005002EF">
      <w:pPr>
        <w:spacing w:line="240" w:lineRule="auto"/>
        <w:jc w:val="center"/>
        <w:rPr>
          <w:rFonts w:cs="Times New Roman"/>
          <w:szCs w:val="24"/>
        </w:rPr>
      </w:pPr>
    </w:p>
    <w:p w14:paraId="52ECDB60" w14:textId="77777777" w:rsidR="005002EF" w:rsidRPr="00C222E9" w:rsidRDefault="005002EF" w:rsidP="005002EF">
      <w:pPr>
        <w:spacing w:line="240" w:lineRule="auto"/>
        <w:jc w:val="center"/>
        <w:rPr>
          <w:rFonts w:cs="Times New Roman"/>
          <w:szCs w:val="24"/>
        </w:rPr>
      </w:pPr>
    </w:p>
    <w:p w14:paraId="1E8C9A7E" w14:textId="77777777" w:rsidR="00E10342" w:rsidRDefault="00D31DDB" w:rsidP="005002EF">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____________________________</w:t>
      </w:r>
    </w:p>
    <w:p w14:paraId="130F8C7F" w14:textId="3FDC3C62" w:rsidR="00E10342" w:rsidRDefault="005002EF" w:rsidP="00957B86">
      <w:pPr>
        <w:pStyle w:val="Standard"/>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s-SV"/>
        </w:rPr>
        <w:t xml:space="preserve">Máster </w:t>
      </w:r>
      <w:r w:rsidR="00D31DDB">
        <w:rPr>
          <w:rFonts w:ascii="Times New Roman" w:eastAsia="Times New Roman" w:hAnsi="Times New Roman" w:cs="Times New Roman"/>
          <w:bCs/>
          <w:sz w:val="24"/>
          <w:szCs w:val="24"/>
        </w:rPr>
        <w:t>Y</w:t>
      </w:r>
      <w:r w:rsidR="002C77E8">
        <w:rPr>
          <w:rFonts w:ascii="Times New Roman" w:eastAsia="Times New Roman" w:hAnsi="Times New Roman" w:cs="Times New Roman"/>
          <w:bCs/>
          <w:sz w:val="24"/>
          <w:szCs w:val="24"/>
        </w:rPr>
        <w:t>olanda Pérez Carrillo</w:t>
      </w:r>
      <w:r w:rsidR="00D31DDB">
        <w:rPr>
          <w:rFonts w:ascii="Times New Roman" w:eastAsia="Times New Roman" w:hAnsi="Times New Roman" w:cs="Times New Roman"/>
          <w:bCs/>
          <w:sz w:val="24"/>
          <w:szCs w:val="24"/>
        </w:rPr>
        <w:t xml:space="preserve"> </w:t>
      </w:r>
    </w:p>
    <w:p w14:paraId="568DAADE" w14:textId="5C1D5582" w:rsidR="00E10342" w:rsidRDefault="00D31DDB" w:rsidP="00957B86">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 xml:space="preserve">Coordinadora de la Maestría en Administración de Justicia con enfoque </w:t>
      </w:r>
      <w:proofErr w:type="spellStart"/>
      <w:r>
        <w:rPr>
          <w:rFonts w:ascii="Times New Roman" w:eastAsia="Times New Roman" w:hAnsi="Times New Roman" w:cs="Times New Roman"/>
          <w:bCs/>
          <w:sz w:val="24"/>
          <w:szCs w:val="24"/>
          <w:lang w:val="es-SV"/>
        </w:rPr>
        <w:t>sociojurídico</w:t>
      </w:r>
      <w:proofErr w:type="spellEnd"/>
    </w:p>
    <w:p w14:paraId="45A6BB8B" w14:textId="77777777" w:rsidR="005002EF" w:rsidRPr="001A5917" w:rsidRDefault="005002EF" w:rsidP="005002EF">
      <w:pPr>
        <w:spacing w:line="240" w:lineRule="auto"/>
        <w:jc w:val="center"/>
        <w:rPr>
          <w:rFonts w:cs="Times New Roman"/>
          <w:szCs w:val="24"/>
        </w:rPr>
      </w:pPr>
    </w:p>
    <w:p w14:paraId="28758AD4" w14:textId="77777777" w:rsidR="005002EF" w:rsidRDefault="005002EF" w:rsidP="005002EF">
      <w:pPr>
        <w:spacing w:line="240" w:lineRule="auto"/>
        <w:jc w:val="center"/>
        <w:rPr>
          <w:rFonts w:cs="Times New Roman"/>
          <w:szCs w:val="24"/>
        </w:rPr>
      </w:pPr>
    </w:p>
    <w:p w14:paraId="405BBDDC" w14:textId="77777777" w:rsidR="005002EF" w:rsidRPr="00C222E9" w:rsidRDefault="005002EF" w:rsidP="005002EF">
      <w:pPr>
        <w:spacing w:line="240" w:lineRule="auto"/>
        <w:jc w:val="center"/>
        <w:rPr>
          <w:rFonts w:cs="Times New Roman"/>
          <w:szCs w:val="24"/>
        </w:rPr>
      </w:pPr>
    </w:p>
    <w:p w14:paraId="1A8F6868" w14:textId="77777777" w:rsidR="005002EF" w:rsidRPr="00C222E9" w:rsidRDefault="005002EF" w:rsidP="005002EF">
      <w:pPr>
        <w:spacing w:line="240" w:lineRule="auto"/>
        <w:jc w:val="center"/>
        <w:rPr>
          <w:rFonts w:cs="Times New Roman"/>
          <w:szCs w:val="24"/>
        </w:rPr>
      </w:pPr>
    </w:p>
    <w:p w14:paraId="47675DC7" w14:textId="77777777" w:rsidR="00E10342" w:rsidRDefault="00D31DDB" w:rsidP="00957B86">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____________________________</w:t>
      </w:r>
    </w:p>
    <w:p w14:paraId="638576B4" w14:textId="77777777" w:rsidR="00E10342" w:rsidRDefault="00D31DDB" w:rsidP="00957B86">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Máster Yamileth García Chaves</w:t>
      </w:r>
    </w:p>
    <w:p w14:paraId="1227C850" w14:textId="14F83683" w:rsidR="00E10342" w:rsidRDefault="00184B17" w:rsidP="00957B86">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 xml:space="preserve">Lectora </w:t>
      </w:r>
    </w:p>
    <w:p w14:paraId="0AA51C33" w14:textId="77777777" w:rsidR="005002EF" w:rsidRPr="001A5917" w:rsidRDefault="005002EF" w:rsidP="005002EF">
      <w:pPr>
        <w:spacing w:line="240" w:lineRule="auto"/>
        <w:jc w:val="center"/>
        <w:rPr>
          <w:rFonts w:cs="Times New Roman"/>
          <w:szCs w:val="24"/>
        </w:rPr>
      </w:pPr>
    </w:p>
    <w:p w14:paraId="7B378FC3" w14:textId="77777777" w:rsidR="005002EF" w:rsidRDefault="005002EF" w:rsidP="005002EF">
      <w:pPr>
        <w:spacing w:line="240" w:lineRule="auto"/>
        <w:jc w:val="center"/>
        <w:rPr>
          <w:rFonts w:cs="Times New Roman"/>
          <w:szCs w:val="24"/>
        </w:rPr>
      </w:pPr>
    </w:p>
    <w:p w14:paraId="1D9337BC" w14:textId="77777777" w:rsidR="005002EF" w:rsidRPr="00C222E9" w:rsidRDefault="005002EF" w:rsidP="005002EF">
      <w:pPr>
        <w:spacing w:line="240" w:lineRule="auto"/>
        <w:jc w:val="center"/>
        <w:rPr>
          <w:rFonts w:cs="Times New Roman"/>
          <w:szCs w:val="24"/>
        </w:rPr>
      </w:pPr>
    </w:p>
    <w:p w14:paraId="33CDDF92" w14:textId="77777777" w:rsidR="005002EF" w:rsidRPr="00C222E9" w:rsidRDefault="005002EF" w:rsidP="005002EF">
      <w:pPr>
        <w:spacing w:line="240" w:lineRule="auto"/>
        <w:jc w:val="center"/>
        <w:rPr>
          <w:rFonts w:cs="Times New Roman"/>
          <w:szCs w:val="24"/>
        </w:rPr>
      </w:pPr>
    </w:p>
    <w:p w14:paraId="02DB4835" w14:textId="77777777" w:rsidR="00E10342" w:rsidRDefault="00D31DDB" w:rsidP="00957B86">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____________________________</w:t>
      </w:r>
    </w:p>
    <w:p w14:paraId="316DDA85" w14:textId="32184FD9" w:rsidR="00E10342" w:rsidRDefault="00D31DDB" w:rsidP="00957B86">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Máster Yerma Campos</w:t>
      </w:r>
    </w:p>
    <w:p w14:paraId="5E64DBCF" w14:textId="3A688AFD" w:rsidR="00E10342" w:rsidRDefault="00D31DDB" w:rsidP="00957B86">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 xml:space="preserve"> Tutora del Trabajo Final de Graduación</w:t>
      </w:r>
    </w:p>
    <w:p w14:paraId="57A8E765" w14:textId="25C69CD0"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4F7AA2B7" w14:textId="2EC12770"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4312CF2D" w14:textId="43A2C2DF"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561AB077" w14:textId="58F09BB2"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2191ED08" w14:textId="763F1EEC"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6E924DD3" w14:textId="7DC08EDC"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5F358DD3" w14:textId="248EB3E4"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1197FC4F" w14:textId="0EB72B4F"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2405298D" w14:textId="7517D45F"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2E3B2BA9" w14:textId="2F06C2A5"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3165FC06" w14:textId="308241FB"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1029FED2" w14:textId="36218074" w:rsidR="0031495E" w:rsidRDefault="0031495E" w:rsidP="00957B86">
      <w:pPr>
        <w:pStyle w:val="Standard"/>
        <w:spacing w:after="0" w:line="240" w:lineRule="auto"/>
        <w:jc w:val="center"/>
        <w:rPr>
          <w:rFonts w:ascii="Times New Roman" w:eastAsia="Times New Roman" w:hAnsi="Times New Roman" w:cs="Times New Roman"/>
          <w:bCs/>
          <w:sz w:val="24"/>
          <w:szCs w:val="24"/>
          <w:lang w:val="es-SV"/>
        </w:rPr>
      </w:pPr>
    </w:p>
    <w:p w14:paraId="79B170DB" w14:textId="77777777" w:rsidR="00E10342" w:rsidRDefault="00D31DDB">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____________________________</w:t>
      </w:r>
    </w:p>
    <w:p w14:paraId="274378B2" w14:textId="77777777" w:rsidR="00E10342" w:rsidRDefault="00D31DDB" w:rsidP="00957B86">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 xml:space="preserve">Lorena María Mc </w:t>
      </w:r>
      <w:proofErr w:type="spellStart"/>
      <w:r>
        <w:rPr>
          <w:rFonts w:ascii="Times New Roman" w:eastAsia="Times New Roman" w:hAnsi="Times New Roman" w:cs="Times New Roman"/>
          <w:bCs/>
          <w:sz w:val="24"/>
          <w:szCs w:val="24"/>
          <w:lang w:val="es-SV"/>
        </w:rPr>
        <w:t>Laren</w:t>
      </w:r>
      <w:proofErr w:type="spellEnd"/>
      <w:r>
        <w:rPr>
          <w:rFonts w:ascii="Times New Roman" w:eastAsia="Times New Roman" w:hAnsi="Times New Roman" w:cs="Times New Roman"/>
          <w:bCs/>
          <w:sz w:val="24"/>
          <w:szCs w:val="24"/>
          <w:lang w:val="es-SV"/>
        </w:rPr>
        <w:t xml:space="preserve"> Quirós</w:t>
      </w:r>
    </w:p>
    <w:p w14:paraId="627A174F" w14:textId="299D24E9" w:rsidR="00E10342" w:rsidRDefault="00184B17" w:rsidP="00957B86">
      <w:pPr>
        <w:pStyle w:val="Standard"/>
        <w:spacing w:after="0" w:line="240" w:lineRule="auto"/>
        <w:jc w:val="center"/>
        <w:rPr>
          <w:rFonts w:ascii="Times New Roman" w:eastAsia="Times New Roman" w:hAnsi="Times New Roman" w:cs="Times New Roman"/>
          <w:bCs/>
          <w:sz w:val="24"/>
          <w:szCs w:val="24"/>
          <w:lang w:val="es-SV"/>
        </w:rPr>
      </w:pPr>
      <w:r>
        <w:rPr>
          <w:rFonts w:ascii="Times New Roman" w:eastAsia="Times New Roman" w:hAnsi="Times New Roman" w:cs="Times New Roman"/>
          <w:bCs/>
          <w:sz w:val="24"/>
          <w:szCs w:val="24"/>
          <w:lang w:val="es-SV"/>
        </w:rPr>
        <w:t>Sustentante</w:t>
      </w:r>
    </w:p>
    <w:p w14:paraId="39177BD7" w14:textId="77777777" w:rsidR="00D640BE" w:rsidRPr="005002EF" w:rsidRDefault="00D640BE" w:rsidP="005002EF">
      <w:pPr>
        <w:autoSpaceDE w:val="0"/>
        <w:adjustRightInd w:val="0"/>
        <w:jc w:val="center"/>
        <w:rPr>
          <w:rFonts w:cs="Times New Roman"/>
          <w:b/>
          <w:szCs w:val="24"/>
        </w:rPr>
      </w:pPr>
      <w:r w:rsidRPr="005002EF">
        <w:rPr>
          <w:rFonts w:eastAsia="Times New Roman" w:cs="Times New Roman"/>
          <w:bCs/>
          <w:szCs w:val="24"/>
          <w:lang w:val="es-SV"/>
        </w:rPr>
        <w:br w:type="page"/>
      </w:r>
      <w:r w:rsidRPr="005002EF">
        <w:rPr>
          <w:rFonts w:cs="Times New Roman"/>
          <w:b/>
          <w:szCs w:val="24"/>
        </w:rPr>
        <w:lastRenderedPageBreak/>
        <w:t>DECLARACIÓN JURADA</w:t>
      </w:r>
    </w:p>
    <w:p w14:paraId="00DB6C6D" w14:textId="7B17504A" w:rsidR="00D640BE" w:rsidRPr="005002EF" w:rsidRDefault="00D640BE" w:rsidP="005002EF">
      <w:pPr>
        <w:pStyle w:val="Standard"/>
        <w:spacing w:after="0" w:line="360" w:lineRule="auto"/>
        <w:jc w:val="both"/>
        <w:rPr>
          <w:rFonts w:ascii="Times New Roman" w:hAnsi="Times New Roman" w:cs="Times New Roman"/>
          <w:sz w:val="24"/>
          <w:szCs w:val="24"/>
        </w:rPr>
      </w:pPr>
      <w:r w:rsidRPr="005002EF">
        <w:rPr>
          <w:rFonts w:ascii="Times New Roman" w:hAnsi="Times New Roman" w:cs="Times New Roman"/>
          <w:sz w:val="24"/>
          <w:szCs w:val="24"/>
        </w:rPr>
        <w:t xml:space="preserve">Yo, Lorena Ma. Mc </w:t>
      </w:r>
      <w:proofErr w:type="spellStart"/>
      <w:r w:rsidRPr="005002EF">
        <w:rPr>
          <w:rFonts w:ascii="Times New Roman" w:hAnsi="Times New Roman" w:cs="Times New Roman"/>
          <w:sz w:val="24"/>
          <w:szCs w:val="24"/>
        </w:rPr>
        <w:t>Laren</w:t>
      </w:r>
      <w:proofErr w:type="spellEnd"/>
      <w:r w:rsidRPr="005002EF">
        <w:rPr>
          <w:rFonts w:ascii="Times New Roman" w:hAnsi="Times New Roman" w:cs="Times New Roman"/>
          <w:sz w:val="24"/>
          <w:szCs w:val="24"/>
        </w:rPr>
        <w:t xml:space="preserve"> Quirós, estudiante de la Universidad Nacional, Costa Rica, declaro bajo fe de juramento y consciente de las responsabilidades penales de este acto, que soy autor/a intelectual del Trabajo Final de Graduación titulado: “Vulnerabilidades cognitivas en mujeres víctimas de violencia intrafamiliar con edades entre los 27 a 35 años, sujetas a atención en el Juzgado Contra la Violencia Doméstica, II Circuito Judicial de San José en el periodo 2018-2019”, por lo que libro a la Universidad Nacional, a la Escuela de Sociología y a la Maestría en Administración</w:t>
      </w:r>
      <w:r w:rsidR="00F829F4" w:rsidRPr="005002EF">
        <w:rPr>
          <w:rFonts w:ascii="Times New Roman" w:hAnsi="Times New Roman" w:cs="Times New Roman"/>
          <w:sz w:val="24"/>
          <w:szCs w:val="24"/>
        </w:rPr>
        <w:t xml:space="preserve"> de Justicia</w:t>
      </w:r>
      <w:r w:rsidR="005F159A">
        <w:rPr>
          <w:rFonts w:ascii="Times New Roman" w:hAnsi="Times New Roman" w:cs="Times New Roman"/>
          <w:sz w:val="24"/>
          <w:szCs w:val="24"/>
        </w:rPr>
        <w:t xml:space="preserve"> </w:t>
      </w:r>
      <w:r w:rsidR="00F829F4" w:rsidRPr="005002EF">
        <w:rPr>
          <w:rFonts w:ascii="Times New Roman" w:hAnsi="Times New Roman" w:cs="Times New Roman"/>
          <w:sz w:val="24"/>
          <w:szCs w:val="24"/>
        </w:rPr>
        <w:t xml:space="preserve">con énfasis </w:t>
      </w:r>
      <w:proofErr w:type="spellStart"/>
      <w:r w:rsidR="00F829F4" w:rsidRPr="005002EF">
        <w:rPr>
          <w:rFonts w:ascii="Times New Roman" w:hAnsi="Times New Roman" w:cs="Times New Roman"/>
          <w:sz w:val="24"/>
          <w:szCs w:val="24"/>
        </w:rPr>
        <w:t>socio</w:t>
      </w:r>
      <w:r w:rsidRPr="005002EF">
        <w:rPr>
          <w:rFonts w:ascii="Times New Roman" w:hAnsi="Times New Roman" w:cs="Times New Roman"/>
          <w:sz w:val="24"/>
          <w:szCs w:val="24"/>
        </w:rPr>
        <w:t>jurídico</w:t>
      </w:r>
      <w:proofErr w:type="spellEnd"/>
      <w:r w:rsidRPr="005002EF">
        <w:rPr>
          <w:rFonts w:ascii="Times New Roman" w:hAnsi="Times New Roman" w:cs="Times New Roman"/>
          <w:sz w:val="24"/>
          <w:szCs w:val="24"/>
        </w:rPr>
        <w:t xml:space="preserve"> de cualquier responsabilidad en caso de que esta declaración sea falsa. </w:t>
      </w:r>
    </w:p>
    <w:p w14:paraId="49DC089A" w14:textId="77777777" w:rsidR="00B053B7" w:rsidRPr="005002EF" w:rsidRDefault="00B053B7" w:rsidP="005002EF">
      <w:pPr>
        <w:pStyle w:val="Standard"/>
        <w:spacing w:after="0" w:line="360" w:lineRule="auto"/>
        <w:jc w:val="both"/>
        <w:rPr>
          <w:rFonts w:ascii="Times New Roman" w:hAnsi="Times New Roman" w:cs="Times New Roman"/>
          <w:sz w:val="24"/>
          <w:szCs w:val="24"/>
        </w:rPr>
      </w:pPr>
    </w:p>
    <w:p w14:paraId="28EF6A48" w14:textId="0375492F" w:rsidR="00D640BE" w:rsidRPr="005002EF" w:rsidRDefault="00B053B7" w:rsidP="005002EF">
      <w:pPr>
        <w:pStyle w:val="Standard"/>
        <w:spacing w:after="0" w:line="360" w:lineRule="auto"/>
        <w:jc w:val="both"/>
        <w:rPr>
          <w:rFonts w:ascii="Times New Roman" w:hAnsi="Times New Roman" w:cs="Times New Roman"/>
          <w:sz w:val="24"/>
          <w:szCs w:val="24"/>
        </w:rPr>
      </w:pPr>
      <w:r w:rsidRPr="005002EF">
        <w:rPr>
          <w:rFonts w:ascii="Times New Roman" w:hAnsi="Times New Roman" w:cs="Times New Roman"/>
          <w:sz w:val="24"/>
          <w:szCs w:val="24"/>
        </w:rPr>
        <w:t xml:space="preserve">Heredia, </w:t>
      </w:r>
      <w:r w:rsidR="00184B17">
        <w:rPr>
          <w:rFonts w:ascii="Times New Roman" w:hAnsi="Times New Roman" w:cs="Times New Roman"/>
          <w:sz w:val="24"/>
          <w:szCs w:val="24"/>
        </w:rPr>
        <w:t>febrero</w:t>
      </w:r>
      <w:r w:rsidRPr="005002EF">
        <w:rPr>
          <w:rFonts w:ascii="Times New Roman" w:hAnsi="Times New Roman" w:cs="Times New Roman"/>
          <w:sz w:val="24"/>
          <w:szCs w:val="24"/>
        </w:rPr>
        <w:t xml:space="preserve"> 2021</w:t>
      </w:r>
    </w:p>
    <w:p w14:paraId="3E5784A2" w14:textId="77777777" w:rsidR="00D640BE" w:rsidRPr="005002EF" w:rsidRDefault="00D640BE" w:rsidP="005002EF">
      <w:pPr>
        <w:autoSpaceDE w:val="0"/>
        <w:adjustRightInd w:val="0"/>
        <w:rPr>
          <w:rFonts w:cs="Times New Roman"/>
          <w:szCs w:val="24"/>
        </w:rPr>
      </w:pPr>
    </w:p>
    <w:p w14:paraId="3CCF732B" w14:textId="65B4E5A7" w:rsidR="00D640BE" w:rsidRPr="005002EF" w:rsidRDefault="00D640BE" w:rsidP="00503B02">
      <w:pPr>
        <w:autoSpaceDE w:val="0"/>
        <w:adjustRightInd w:val="0"/>
        <w:ind w:firstLine="0"/>
        <w:rPr>
          <w:rFonts w:cs="Times New Roman"/>
          <w:szCs w:val="24"/>
        </w:rPr>
      </w:pPr>
      <w:r w:rsidRPr="005002EF">
        <w:rPr>
          <w:rFonts w:cs="Times New Roman"/>
          <w:szCs w:val="24"/>
        </w:rPr>
        <w:t>______________________________</w:t>
      </w:r>
    </w:p>
    <w:p w14:paraId="7573504D" w14:textId="46D7BBF8" w:rsidR="00D640BE" w:rsidRPr="005002EF" w:rsidRDefault="00D640BE" w:rsidP="00503B02">
      <w:pPr>
        <w:autoSpaceDE w:val="0"/>
        <w:adjustRightInd w:val="0"/>
        <w:ind w:firstLine="0"/>
        <w:rPr>
          <w:rFonts w:cs="Times New Roman"/>
          <w:szCs w:val="24"/>
        </w:rPr>
      </w:pPr>
      <w:r w:rsidRPr="005002EF">
        <w:rPr>
          <w:rFonts w:cs="Times New Roman"/>
          <w:szCs w:val="24"/>
        </w:rPr>
        <w:t xml:space="preserve">Lorena Ma. Mc </w:t>
      </w:r>
      <w:proofErr w:type="spellStart"/>
      <w:r w:rsidRPr="005002EF">
        <w:rPr>
          <w:rFonts w:cs="Times New Roman"/>
          <w:szCs w:val="24"/>
        </w:rPr>
        <w:t>Laren</w:t>
      </w:r>
      <w:proofErr w:type="spellEnd"/>
      <w:r w:rsidRPr="005002EF">
        <w:rPr>
          <w:rFonts w:cs="Times New Roman"/>
          <w:szCs w:val="24"/>
        </w:rPr>
        <w:t xml:space="preserve"> Quirós</w:t>
      </w:r>
    </w:p>
    <w:p w14:paraId="5D52EC6A" w14:textId="6980665A" w:rsidR="00F829F4" w:rsidRPr="005002EF" w:rsidRDefault="005002EF" w:rsidP="00503B02">
      <w:pPr>
        <w:autoSpaceDE w:val="0"/>
        <w:adjustRightInd w:val="0"/>
        <w:ind w:firstLine="0"/>
        <w:rPr>
          <w:rFonts w:cs="Times New Roman"/>
          <w:szCs w:val="24"/>
        </w:rPr>
      </w:pPr>
      <w:r>
        <w:rPr>
          <w:rFonts w:cs="Times New Roman"/>
          <w:szCs w:val="24"/>
        </w:rPr>
        <w:t xml:space="preserve">Cédula: </w:t>
      </w:r>
      <w:r w:rsidR="00F829F4" w:rsidRPr="005002EF">
        <w:rPr>
          <w:rFonts w:cs="Times New Roman"/>
          <w:szCs w:val="24"/>
        </w:rPr>
        <w:t>1</w:t>
      </w:r>
      <w:r>
        <w:rPr>
          <w:rFonts w:cs="Times New Roman"/>
          <w:szCs w:val="24"/>
        </w:rPr>
        <w:t>-</w:t>
      </w:r>
      <w:r w:rsidR="00F829F4" w:rsidRPr="005002EF">
        <w:rPr>
          <w:rFonts w:cs="Times New Roman"/>
          <w:szCs w:val="24"/>
        </w:rPr>
        <w:t>0805</w:t>
      </w:r>
      <w:r>
        <w:rPr>
          <w:rFonts w:cs="Times New Roman"/>
          <w:szCs w:val="24"/>
        </w:rPr>
        <w:t>-</w:t>
      </w:r>
      <w:r w:rsidR="00F829F4" w:rsidRPr="005002EF">
        <w:rPr>
          <w:rFonts w:cs="Times New Roman"/>
          <w:szCs w:val="24"/>
        </w:rPr>
        <w:t>0548</w:t>
      </w:r>
    </w:p>
    <w:p w14:paraId="5ED590C0" w14:textId="77777777" w:rsidR="00D640BE" w:rsidRPr="005002EF" w:rsidRDefault="00D640BE">
      <w:pPr>
        <w:rPr>
          <w:rFonts w:eastAsia="Times New Roman" w:cs="Times New Roman"/>
          <w:bCs/>
          <w:szCs w:val="24"/>
          <w:lang w:val="es-SV"/>
        </w:rPr>
      </w:pPr>
    </w:p>
    <w:p w14:paraId="14E676DC" w14:textId="77777777" w:rsidR="00D640BE" w:rsidRPr="005002EF" w:rsidRDefault="00D640BE">
      <w:pPr>
        <w:rPr>
          <w:rFonts w:eastAsia="Times New Roman" w:cs="Times New Roman"/>
          <w:bCs/>
          <w:szCs w:val="24"/>
          <w:lang w:val="es-SV"/>
        </w:rPr>
      </w:pPr>
      <w:r w:rsidRPr="005002EF">
        <w:rPr>
          <w:rFonts w:eastAsia="Times New Roman" w:cs="Times New Roman"/>
          <w:bCs/>
          <w:szCs w:val="24"/>
          <w:lang w:val="es-SV"/>
        </w:rPr>
        <w:br w:type="page"/>
      </w:r>
    </w:p>
    <w:p w14:paraId="549C650E" w14:textId="1B5E1850" w:rsidR="00E10342" w:rsidRDefault="005002EF" w:rsidP="005002EF">
      <w:pPr>
        <w:pStyle w:val="Standard"/>
        <w:spacing w:after="0" w:line="360" w:lineRule="auto"/>
        <w:jc w:val="center"/>
        <w:rPr>
          <w:rFonts w:ascii="Times New Roman" w:eastAsia="Times New Roman" w:hAnsi="Times New Roman" w:cs="Times New Roman"/>
          <w:b/>
          <w:sz w:val="24"/>
          <w:szCs w:val="24"/>
          <w:lang w:val="es-SV"/>
        </w:rPr>
      </w:pPr>
      <w:r w:rsidRPr="005002EF">
        <w:rPr>
          <w:rFonts w:ascii="Times New Roman" w:eastAsia="Times New Roman" w:hAnsi="Times New Roman" w:cs="Times New Roman"/>
          <w:b/>
          <w:sz w:val="24"/>
          <w:szCs w:val="24"/>
          <w:lang w:val="es-SV"/>
        </w:rPr>
        <w:lastRenderedPageBreak/>
        <w:t>DEDICATORIA</w:t>
      </w:r>
    </w:p>
    <w:p w14:paraId="03D76505" w14:textId="77777777" w:rsidR="002179A8" w:rsidRPr="005002EF" w:rsidRDefault="002179A8" w:rsidP="005002EF">
      <w:pPr>
        <w:pStyle w:val="Standard"/>
        <w:spacing w:after="0" w:line="360" w:lineRule="auto"/>
        <w:jc w:val="center"/>
        <w:rPr>
          <w:rFonts w:ascii="Times New Roman" w:eastAsia="Times New Roman" w:hAnsi="Times New Roman" w:cs="Times New Roman"/>
          <w:b/>
          <w:sz w:val="24"/>
          <w:szCs w:val="24"/>
          <w:lang w:val="es-SV"/>
        </w:rPr>
      </w:pPr>
    </w:p>
    <w:p w14:paraId="0EDDA3A1" w14:textId="0418EACF" w:rsidR="00E10342" w:rsidRPr="005002EF" w:rsidRDefault="00D31DDB" w:rsidP="005002EF">
      <w:pPr>
        <w:pStyle w:val="Standard"/>
        <w:tabs>
          <w:tab w:val="left" w:pos="709"/>
        </w:tabs>
        <w:spacing w:after="0" w:line="360" w:lineRule="auto"/>
        <w:ind w:firstLine="708"/>
        <w:jc w:val="both"/>
        <w:rPr>
          <w:rFonts w:ascii="Times New Roman" w:hAnsi="Times New Roman" w:cs="Times New Roman"/>
          <w:sz w:val="24"/>
          <w:szCs w:val="24"/>
        </w:rPr>
      </w:pPr>
      <w:r w:rsidRPr="005002EF">
        <w:rPr>
          <w:rFonts w:ascii="Times New Roman" w:hAnsi="Times New Roman" w:cs="Times New Roman"/>
          <w:sz w:val="24"/>
          <w:szCs w:val="24"/>
        </w:rPr>
        <w:t>Deseo dedicarle este difícil y extenso, pero enriquecedor proceso de investigación, a mis padres Oscar Eloy y Carmen María, así como a mi hija Stephanie. Se los dedico, porque sin los valores, la entrega y el compromiso enseñados por mis padres, unidos al ánimo y el apoyo incondicional de mi hija, no hubiese podido afrontar este trabajo de investigación con el respeto, dedicación, perseverancia y motivación que debe mantenerse antes y durante este proceso del Trabajo Final de Graduación.</w:t>
      </w:r>
    </w:p>
    <w:p w14:paraId="67DB0D49" w14:textId="77777777" w:rsidR="00E10342" w:rsidRPr="005002EF" w:rsidRDefault="00D31DDB" w:rsidP="005002EF">
      <w:pPr>
        <w:pStyle w:val="Standard"/>
        <w:spacing w:after="0" w:line="360" w:lineRule="auto"/>
        <w:jc w:val="both"/>
        <w:rPr>
          <w:rFonts w:ascii="Times New Roman" w:hAnsi="Times New Roman" w:cs="Times New Roman"/>
          <w:sz w:val="24"/>
          <w:szCs w:val="24"/>
        </w:rPr>
      </w:pPr>
      <w:r w:rsidRPr="005002EF">
        <w:rPr>
          <w:rFonts w:ascii="Times New Roman" w:hAnsi="Times New Roman" w:cs="Times New Roman"/>
          <w:sz w:val="24"/>
          <w:szCs w:val="24"/>
        </w:rPr>
        <w:t xml:space="preserve"> </w:t>
      </w:r>
      <w:r w:rsidRPr="005002EF">
        <w:rPr>
          <w:rFonts w:ascii="Times New Roman" w:hAnsi="Times New Roman" w:cs="Times New Roman"/>
          <w:sz w:val="24"/>
          <w:szCs w:val="24"/>
        </w:rPr>
        <w:tab/>
        <w:t>Cada uno de ellos buscó la manera de ayudar y apoyarme en cada etapa, motivándome a centrarme en mí y en la universidad, antes que cualquier otra cosa, para lograr lo que hoy es una realidad: un documento que puede servir a nuevas y viejas generaciones para comprender mejor el fenómeno que investigué; y a mi persona, para emprender la búsqueda de nuevos caminos y rutas de reflexión. Por su amor, atención y motivación les dedico, con todo mi cariño, este TFG en la Maestría de Administración de Justicia.</w:t>
      </w:r>
    </w:p>
    <w:p w14:paraId="59999364" w14:textId="77777777" w:rsidR="00E10342" w:rsidRPr="005002EF" w:rsidRDefault="00E10342" w:rsidP="005002EF">
      <w:pPr>
        <w:pStyle w:val="Standard"/>
        <w:spacing w:after="0" w:line="360" w:lineRule="auto"/>
        <w:jc w:val="both"/>
        <w:rPr>
          <w:sz w:val="24"/>
          <w:szCs w:val="24"/>
        </w:rPr>
      </w:pPr>
    </w:p>
    <w:p w14:paraId="73B8566A" w14:textId="77777777" w:rsidR="00E10342" w:rsidRDefault="00E10342">
      <w:pPr>
        <w:pStyle w:val="Standard"/>
        <w:spacing w:after="200" w:line="360" w:lineRule="auto"/>
        <w:jc w:val="both"/>
      </w:pPr>
    </w:p>
    <w:p w14:paraId="01D820B7" w14:textId="77777777" w:rsidR="00E10342" w:rsidRDefault="00E10342">
      <w:pPr>
        <w:pStyle w:val="Standard"/>
        <w:spacing w:after="200" w:line="360" w:lineRule="auto"/>
        <w:jc w:val="both"/>
      </w:pPr>
    </w:p>
    <w:p w14:paraId="5B6BB7DD" w14:textId="77777777" w:rsidR="00E10342" w:rsidRDefault="00E10342">
      <w:pPr>
        <w:pStyle w:val="Standard"/>
        <w:spacing w:after="200" w:line="360" w:lineRule="auto"/>
        <w:jc w:val="both"/>
      </w:pPr>
    </w:p>
    <w:p w14:paraId="4E7979A5" w14:textId="77777777" w:rsidR="00E10342" w:rsidRDefault="00E10342">
      <w:pPr>
        <w:pStyle w:val="Standard"/>
        <w:spacing w:after="200" w:line="360" w:lineRule="auto"/>
        <w:jc w:val="both"/>
      </w:pPr>
    </w:p>
    <w:p w14:paraId="253C900D" w14:textId="77777777" w:rsidR="00E10342" w:rsidRDefault="00E10342">
      <w:pPr>
        <w:pStyle w:val="Standard"/>
        <w:spacing w:after="200" w:line="360" w:lineRule="auto"/>
        <w:jc w:val="both"/>
      </w:pPr>
    </w:p>
    <w:p w14:paraId="1F6F05C9" w14:textId="77777777" w:rsidR="00E10342" w:rsidRDefault="00E10342">
      <w:pPr>
        <w:pStyle w:val="Standard"/>
        <w:spacing w:after="200" w:line="360" w:lineRule="auto"/>
        <w:jc w:val="both"/>
      </w:pPr>
    </w:p>
    <w:p w14:paraId="013DB94E" w14:textId="77777777" w:rsidR="00E10342" w:rsidRDefault="00E10342">
      <w:pPr>
        <w:pStyle w:val="Standard"/>
        <w:spacing w:after="200" w:line="360" w:lineRule="auto"/>
        <w:jc w:val="both"/>
      </w:pPr>
    </w:p>
    <w:p w14:paraId="37FA8B2D" w14:textId="77777777" w:rsidR="00E10342" w:rsidRDefault="00E10342">
      <w:pPr>
        <w:pStyle w:val="Standard"/>
        <w:spacing w:after="200" w:line="360" w:lineRule="auto"/>
        <w:jc w:val="both"/>
      </w:pPr>
    </w:p>
    <w:p w14:paraId="21BA0CC6" w14:textId="77777777" w:rsidR="00E10342" w:rsidRDefault="00E10342">
      <w:pPr>
        <w:pStyle w:val="Standard"/>
        <w:spacing w:after="200" w:line="360" w:lineRule="auto"/>
        <w:jc w:val="both"/>
      </w:pPr>
    </w:p>
    <w:p w14:paraId="7988DB8C" w14:textId="77777777" w:rsidR="00E10342" w:rsidRDefault="00E10342">
      <w:pPr>
        <w:pStyle w:val="Standard"/>
        <w:spacing w:after="200" w:line="360" w:lineRule="auto"/>
        <w:jc w:val="both"/>
      </w:pPr>
    </w:p>
    <w:p w14:paraId="125B7EFA" w14:textId="77777777" w:rsidR="00E10342" w:rsidRDefault="00E10342">
      <w:pPr>
        <w:pStyle w:val="Standard"/>
        <w:spacing w:after="200" w:line="360" w:lineRule="auto"/>
        <w:jc w:val="both"/>
      </w:pPr>
    </w:p>
    <w:p w14:paraId="5B22ECB3" w14:textId="1F293A41" w:rsidR="00E10342" w:rsidRDefault="009A5CE3" w:rsidP="005002EF">
      <w:pPr>
        <w:pStyle w:val="Standard"/>
        <w:spacing w:after="0" w:line="360" w:lineRule="auto"/>
        <w:jc w:val="center"/>
        <w:rPr>
          <w:rFonts w:ascii="Times New Roman" w:hAnsi="Times New Roman" w:cs="Times New Roman"/>
          <w:b/>
          <w:bCs/>
          <w:sz w:val="24"/>
          <w:szCs w:val="24"/>
        </w:rPr>
      </w:pPr>
      <w:r w:rsidRPr="009A5CE3">
        <w:rPr>
          <w:rFonts w:ascii="Times New Roman" w:hAnsi="Times New Roman" w:cs="Times New Roman"/>
          <w:b/>
          <w:bCs/>
          <w:sz w:val="24"/>
          <w:szCs w:val="24"/>
        </w:rPr>
        <w:lastRenderedPageBreak/>
        <w:t>AGRADECIMIENTOS</w:t>
      </w:r>
    </w:p>
    <w:p w14:paraId="0BAC887D" w14:textId="77777777" w:rsidR="002179A8" w:rsidRPr="009A5CE3" w:rsidRDefault="002179A8" w:rsidP="005002EF">
      <w:pPr>
        <w:pStyle w:val="Standard"/>
        <w:spacing w:after="0" w:line="360" w:lineRule="auto"/>
        <w:jc w:val="center"/>
        <w:rPr>
          <w:rFonts w:ascii="Times New Roman" w:hAnsi="Times New Roman" w:cs="Times New Roman"/>
          <w:b/>
          <w:bCs/>
          <w:sz w:val="24"/>
          <w:szCs w:val="24"/>
        </w:rPr>
      </w:pPr>
    </w:p>
    <w:p w14:paraId="65DF6B7D" w14:textId="63FB3E7A" w:rsidR="00E10342" w:rsidRDefault="00D31DDB" w:rsidP="009A5CE3">
      <w:pPr>
        <w:pStyle w:val="Standard"/>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Le agradezco a Dios, a mis padres por todo el apoyo, el cariño y la comprensión, por procurar siempre mi bienestar; a mi hija, por todos los consejos, la paciencia, los ánimos, el amor y la atención. A mis amigos, </w:t>
      </w: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Luz Amelia Ramírez,</w:t>
      </w:r>
      <w:r w:rsidR="004A147C">
        <w:rPr>
          <w:rFonts w:ascii="Times New Roman" w:hAnsi="Times New Roman" w:cs="Times New Roman"/>
          <w:sz w:val="24"/>
          <w:szCs w:val="24"/>
        </w:rPr>
        <w:t xml:space="preserve"> </w:t>
      </w:r>
      <w:proofErr w:type="spellStart"/>
      <w:r w:rsidR="004A147C">
        <w:rPr>
          <w:rFonts w:ascii="Times New Roman" w:hAnsi="Times New Roman" w:cs="Times New Roman"/>
          <w:sz w:val="24"/>
          <w:szCs w:val="24"/>
        </w:rPr>
        <w:t>MSc</w:t>
      </w:r>
      <w:proofErr w:type="spellEnd"/>
      <w:r w:rsidR="004A147C">
        <w:rPr>
          <w:rFonts w:ascii="Times New Roman" w:hAnsi="Times New Roman" w:cs="Times New Roman"/>
          <w:sz w:val="24"/>
          <w:szCs w:val="24"/>
        </w:rPr>
        <w:t>. Patsy Angélica Mora Retana,</w:t>
      </w:r>
      <w:r>
        <w:rPr>
          <w:rFonts w:ascii="Times New Roman" w:hAnsi="Times New Roman" w:cs="Times New Roman"/>
          <w:sz w:val="24"/>
          <w:szCs w:val="24"/>
        </w:rPr>
        <w:t xml:space="preserve"> </w:t>
      </w: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Wendy Blanco, L</w:t>
      </w:r>
      <w:r w:rsidR="004A147C">
        <w:rPr>
          <w:rFonts w:ascii="Times New Roman" w:hAnsi="Times New Roman" w:cs="Times New Roman"/>
          <w:sz w:val="24"/>
          <w:szCs w:val="24"/>
        </w:rPr>
        <w:t>i</w:t>
      </w:r>
      <w:r>
        <w:rPr>
          <w:rFonts w:ascii="Times New Roman" w:hAnsi="Times New Roman" w:cs="Times New Roman"/>
          <w:sz w:val="24"/>
          <w:szCs w:val="24"/>
        </w:rPr>
        <w:t>cda. Jacqueline Phillips,</w:t>
      </w:r>
      <w:r w:rsidR="004A147C">
        <w:rPr>
          <w:rFonts w:ascii="Times New Roman" w:hAnsi="Times New Roman" w:cs="Times New Roman"/>
          <w:sz w:val="24"/>
          <w:szCs w:val="24"/>
        </w:rPr>
        <w:t xml:space="preserve"> </w:t>
      </w:r>
      <w:proofErr w:type="spellStart"/>
      <w:r w:rsidR="004A147C">
        <w:rPr>
          <w:rFonts w:ascii="Times New Roman" w:hAnsi="Times New Roman" w:cs="Times New Roman"/>
          <w:sz w:val="24"/>
          <w:szCs w:val="24"/>
        </w:rPr>
        <w:t>Licda.Jorleny</w:t>
      </w:r>
      <w:proofErr w:type="spellEnd"/>
      <w:r w:rsidR="004A147C">
        <w:rPr>
          <w:rFonts w:ascii="Times New Roman" w:hAnsi="Times New Roman" w:cs="Times New Roman"/>
          <w:sz w:val="24"/>
          <w:szCs w:val="24"/>
        </w:rPr>
        <w:t xml:space="preserve"> </w:t>
      </w:r>
      <w:r w:rsidR="00FA0326">
        <w:rPr>
          <w:rFonts w:ascii="Times New Roman" w:hAnsi="Times New Roman" w:cs="Times New Roman"/>
          <w:sz w:val="24"/>
          <w:szCs w:val="24"/>
        </w:rPr>
        <w:t>Murillo, Dra.</w:t>
      </w:r>
      <w:r>
        <w:rPr>
          <w:rFonts w:ascii="Times New Roman" w:hAnsi="Times New Roman" w:cs="Times New Roman"/>
          <w:sz w:val="24"/>
          <w:szCs w:val="24"/>
        </w:rPr>
        <w:t xml:space="preserve"> Gabriela Jiménez y Dr. David Ramírez; así como a los compañeros del Familia II Circuito Judicial, </w:t>
      </w: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xml:space="preserve">. Carlos Sánchez, </w:t>
      </w: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xml:space="preserve">. Valeska </w:t>
      </w:r>
      <w:proofErr w:type="spellStart"/>
      <w:r>
        <w:rPr>
          <w:rFonts w:ascii="Times New Roman" w:hAnsi="Times New Roman" w:cs="Times New Roman"/>
          <w:sz w:val="24"/>
          <w:szCs w:val="24"/>
        </w:rPr>
        <w:t>von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Koller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xml:space="preserve">. Ramón Zamora; y del Juzgado Contra la Violencia Doméstica tanto personas juzgadoras, en especial a su coordinadora </w:t>
      </w:r>
      <w:proofErr w:type="spellStart"/>
      <w:proofErr w:type="gramStart"/>
      <w:r>
        <w:rPr>
          <w:rFonts w:ascii="Times New Roman" w:hAnsi="Times New Roman" w:cs="Times New Roman"/>
          <w:sz w:val="24"/>
          <w:szCs w:val="24"/>
        </w:rPr>
        <w:t>M.Sc</w:t>
      </w:r>
      <w:proofErr w:type="spellEnd"/>
      <w:proofErr w:type="gramEnd"/>
      <w:r>
        <w:rPr>
          <w:rFonts w:ascii="Times New Roman" w:hAnsi="Times New Roman" w:cs="Times New Roman"/>
          <w:sz w:val="24"/>
          <w:szCs w:val="24"/>
        </w:rPr>
        <w:t xml:space="preserve"> Silvia Fernández, como técnicos judiciales que me tendieron la mano y cada uno de los cuales fueron mis principales motores para salir adelante. Cada uno dio un aporte increíble y una confianza gigante que agradezco con todo cariño y admiración.</w:t>
      </w:r>
    </w:p>
    <w:p w14:paraId="472B79CB" w14:textId="29495E6A" w:rsidR="00E10342" w:rsidRDefault="00D31DDB" w:rsidP="005002EF">
      <w:pPr>
        <w:pStyle w:val="Standard"/>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Además, le agradezco a la </w:t>
      </w: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Yolanda Pérez por lograr coordinar todo lo referente a la maestría y que con ello esta culminara</w:t>
      </w:r>
      <w:r w:rsidR="00BA60B9">
        <w:rPr>
          <w:rFonts w:ascii="Times New Roman" w:hAnsi="Times New Roman" w:cs="Times New Roman"/>
          <w:sz w:val="24"/>
          <w:szCs w:val="24"/>
        </w:rPr>
        <w:t xml:space="preserve"> </w:t>
      </w:r>
      <w:r>
        <w:rPr>
          <w:rFonts w:ascii="Times New Roman" w:hAnsi="Times New Roman" w:cs="Times New Roman"/>
          <w:sz w:val="24"/>
          <w:szCs w:val="24"/>
        </w:rPr>
        <w:t xml:space="preserve">con éxito, junto con Bach. Marilú Muñoz, en aspectos administrativos; y muy especialmente a la </w:t>
      </w:r>
      <w:proofErr w:type="spellStart"/>
      <w:r>
        <w:rPr>
          <w:rFonts w:ascii="Times New Roman" w:hAnsi="Times New Roman" w:cs="Times New Roman"/>
          <w:sz w:val="24"/>
          <w:szCs w:val="24"/>
        </w:rPr>
        <w:t>M</w:t>
      </w:r>
      <w:r w:rsidR="00C218FD">
        <w:rPr>
          <w:rFonts w:ascii="Times New Roman" w:hAnsi="Times New Roman" w:cs="Times New Roman"/>
          <w:sz w:val="24"/>
          <w:szCs w:val="24"/>
        </w:rPr>
        <w:t>.Sc</w:t>
      </w:r>
      <w:proofErr w:type="spellEnd"/>
      <w:r>
        <w:rPr>
          <w:rFonts w:ascii="Times New Roman" w:hAnsi="Times New Roman" w:cs="Times New Roman"/>
          <w:sz w:val="24"/>
          <w:szCs w:val="24"/>
        </w:rPr>
        <w:t xml:space="preserve">. Yamileth García, por su entrega y disciplina como docente, pues sin ella nada de esto es posible, así como a la </w:t>
      </w:r>
      <w:proofErr w:type="spellStart"/>
      <w:r>
        <w:rPr>
          <w:rFonts w:ascii="Times New Roman" w:hAnsi="Times New Roman" w:cs="Times New Roman"/>
          <w:sz w:val="24"/>
          <w:szCs w:val="24"/>
        </w:rPr>
        <w:t>M</w:t>
      </w:r>
      <w:r w:rsidR="00C218FD">
        <w:rPr>
          <w:rFonts w:ascii="Times New Roman" w:hAnsi="Times New Roman" w:cs="Times New Roman"/>
          <w:sz w:val="24"/>
          <w:szCs w:val="24"/>
        </w:rPr>
        <w:t>Sc</w:t>
      </w:r>
      <w:proofErr w:type="spellEnd"/>
      <w:r w:rsidR="00C218FD">
        <w:rPr>
          <w:rFonts w:ascii="Times New Roman" w:hAnsi="Times New Roman" w:cs="Times New Roman"/>
          <w:sz w:val="24"/>
          <w:szCs w:val="24"/>
        </w:rPr>
        <w:t>.</w:t>
      </w:r>
      <w:r>
        <w:rPr>
          <w:rFonts w:ascii="Times New Roman" w:hAnsi="Times New Roman" w:cs="Times New Roman"/>
          <w:sz w:val="24"/>
          <w:szCs w:val="24"/>
        </w:rPr>
        <w:t xml:space="preserve"> Yerma Campos, por sus oportunas observaciones y su guía.</w:t>
      </w:r>
    </w:p>
    <w:p w14:paraId="69EC4359" w14:textId="77777777" w:rsidR="00E10342" w:rsidRDefault="00E10342" w:rsidP="005002EF">
      <w:pPr>
        <w:pStyle w:val="Standard"/>
        <w:spacing w:after="0" w:line="360" w:lineRule="auto"/>
        <w:jc w:val="both"/>
        <w:rPr>
          <w:rFonts w:ascii="Times New Roman" w:eastAsia="Times New Roman" w:hAnsi="Times New Roman" w:cs="Times New Roman"/>
          <w:bCs/>
          <w:sz w:val="28"/>
          <w:szCs w:val="28"/>
          <w:lang w:val="es-SV"/>
        </w:rPr>
      </w:pPr>
    </w:p>
    <w:p w14:paraId="27E0AF09" w14:textId="77777777" w:rsidR="00440AB3" w:rsidRDefault="00440AB3">
      <w:pPr>
        <w:rPr>
          <w:rFonts w:eastAsia="Times New Roman" w:cs="Times New Roman"/>
          <w:color w:val="2E74B5"/>
          <w:szCs w:val="24"/>
          <w:lang w:val="es-SV" w:eastAsia="es-CR"/>
        </w:rPr>
      </w:pPr>
      <w:r>
        <w:rPr>
          <w:bCs/>
          <w:szCs w:val="24"/>
          <w:lang w:val="es-SV"/>
        </w:rPr>
        <w:br w:type="page"/>
      </w:r>
    </w:p>
    <w:sdt>
      <w:sdtPr>
        <w:rPr>
          <w:rFonts w:ascii="Times New Roman" w:eastAsia="SimSun" w:hAnsi="Times New Roman" w:cs="Times New Roman"/>
          <w:b w:val="0"/>
          <w:bCs w:val="0"/>
          <w:color w:val="auto"/>
          <w:kern w:val="3"/>
          <w:sz w:val="24"/>
          <w:szCs w:val="24"/>
          <w:lang w:val="es-ES" w:eastAsia="en-US"/>
        </w:rPr>
        <w:id w:val="2102071111"/>
        <w:docPartObj>
          <w:docPartGallery w:val="Table of Contents"/>
          <w:docPartUnique/>
        </w:docPartObj>
      </w:sdtPr>
      <w:sdtEndPr>
        <w:rPr>
          <w:noProof/>
          <w:lang w:val="es-CR"/>
        </w:rPr>
      </w:sdtEndPr>
      <w:sdtContent>
        <w:p w14:paraId="797648E8" w14:textId="77777777" w:rsidR="00BD36F2" w:rsidRDefault="00BD36F2" w:rsidP="009D3BDC">
          <w:pPr>
            <w:pStyle w:val="TtuloTDC"/>
            <w:spacing w:before="0" w:line="360" w:lineRule="auto"/>
            <w:jc w:val="center"/>
            <w:rPr>
              <w:rFonts w:ascii="Times New Roman" w:eastAsia="SimSun" w:hAnsi="Times New Roman" w:cs="Times New Roman"/>
              <w:b w:val="0"/>
              <w:bCs w:val="0"/>
              <w:color w:val="auto"/>
              <w:kern w:val="3"/>
              <w:sz w:val="24"/>
              <w:szCs w:val="24"/>
              <w:lang w:val="es-ES" w:eastAsia="en-US"/>
            </w:rPr>
          </w:pPr>
        </w:p>
        <w:p w14:paraId="2C7E12A5" w14:textId="77777777" w:rsidR="00BD36F2" w:rsidRDefault="00BD36F2" w:rsidP="009D3BDC">
          <w:pPr>
            <w:pStyle w:val="TtuloTDC"/>
            <w:spacing w:before="0" w:line="360" w:lineRule="auto"/>
            <w:jc w:val="center"/>
            <w:rPr>
              <w:rFonts w:ascii="Times New Roman" w:eastAsia="SimSun" w:hAnsi="Times New Roman" w:cs="Times New Roman"/>
              <w:b w:val="0"/>
              <w:bCs w:val="0"/>
              <w:color w:val="auto"/>
              <w:kern w:val="3"/>
              <w:sz w:val="24"/>
              <w:szCs w:val="24"/>
              <w:lang w:val="es-ES" w:eastAsia="en-US"/>
            </w:rPr>
          </w:pPr>
        </w:p>
        <w:p w14:paraId="590A153F" w14:textId="77777777" w:rsidR="00BD36F2" w:rsidRDefault="00BD36F2" w:rsidP="009D3BDC">
          <w:pPr>
            <w:pStyle w:val="TtuloTDC"/>
            <w:spacing w:before="0" w:line="360" w:lineRule="auto"/>
            <w:jc w:val="center"/>
            <w:rPr>
              <w:rFonts w:ascii="Times New Roman" w:eastAsia="SimSun" w:hAnsi="Times New Roman" w:cs="Times New Roman"/>
              <w:b w:val="0"/>
              <w:bCs w:val="0"/>
              <w:color w:val="auto"/>
              <w:kern w:val="3"/>
              <w:sz w:val="24"/>
              <w:szCs w:val="24"/>
              <w:lang w:val="es-ES" w:eastAsia="en-US"/>
            </w:rPr>
          </w:pPr>
        </w:p>
        <w:p w14:paraId="4FC6F446" w14:textId="13199F89" w:rsidR="009D3BDC" w:rsidRPr="00333D21" w:rsidRDefault="009D3BDC" w:rsidP="009D3BDC">
          <w:pPr>
            <w:pStyle w:val="TtuloTDC"/>
            <w:spacing w:before="0" w:line="360" w:lineRule="auto"/>
            <w:jc w:val="center"/>
            <w:rPr>
              <w:rFonts w:ascii="Times New Roman" w:hAnsi="Times New Roman" w:cs="Times New Roman"/>
              <w:b w:val="0"/>
              <w:color w:val="000000" w:themeColor="text1"/>
              <w:sz w:val="24"/>
              <w:szCs w:val="24"/>
            </w:rPr>
          </w:pPr>
          <w:r w:rsidRPr="00333D21">
            <w:rPr>
              <w:rFonts w:ascii="Times New Roman" w:hAnsi="Times New Roman" w:cs="Times New Roman"/>
              <w:b w:val="0"/>
              <w:color w:val="000000" w:themeColor="text1"/>
              <w:sz w:val="24"/>
              <w:szCs w:val="24"/>
              <w:lang w:val="es-ES"/>
            </w:rPr>
            <w:t>TABLA DE CONTENIDO</w:t>
          </w:r>
        </w:p>
        <w:p w14:paraId="3F31CCA2" w14:textId="76EF453D" w:rsidR="002179A8" w:rsidRPr="00333D21" w:rsidRDefault="009D3BDC">
          <w:pPr>
            <w:pStyle w:val="TDC1"/>
            <w:tabs>
              <w:tab w:val="right" w:leader="dot" w:pos="8714"/>
            </w:tabs>
            <w:rPr>
              <w:rFonts w:ascii="Times New Roman" w:eastAsiaTheme="minorEastAsia" w:hAnsi="Times New Roman" w:cs="Times New Roman"/>
              <w:b w:val="0"/>
              <w:bCs w:val="0"/>
              <w:i w:val="0"/>
              <w:iCs w:val="0"/>
              <w:noProof/>
              <w:kern w:val="0"/>
              <w:lang w:eastAsia="es-CR"/>
            </w:rPr>
          </w:pPr>
          <w:r w:rsidRPr="00333D21">
            <w:rPr>
              <w:rFonts w:ascii="Times New Roman" w:hAnsi="Times New Roman" w:cs="Times New Roman"/>
              <w:b w:val="0"/>
              <w:bCs w:val="0"/>
              <w:i w:val="0"/>
            </w:rPr>
            <w:fldChar w:fldCharType="begin"/>
          </w:r>
          <w:r w:rsidRPr="00333D21">
            <w:rPr>
              <w:rFonts w:ascii="Times New Roman" w:hAnsi="Times New Roman" w:cs="Times New Roman"/>
              <w:b w:val="0"/>
              <w:i w:val="0"/>
            </w:rPr>
            <w:instrText>TOC \o "1-3" \h \z \u</w:instrText>
          </w:r>
          <w:r w:rsidRPr="00333D21">
            <w:rPr>
              <w:rFonts w:ascii="Times New Roman" w:hAnsi="Times New Roman" w:cs="Times New Roman"/>
              <w:b w:val="0"/>
              <w:bCs w:val="0"/>
              <w:i w:val="0"/>
            </w:rPr>
            <w:fldChar w:fldCharType="separate"/>
          </w:r>
          <w:hyperlink w:anchor="_Toc63688923" w:history="1">
            <w:r w:rsidR="002179A8" w:rsidRPr="00333D21">
              <w:rPr>
                <w:rStyle w:val="Hipervnculo"/>
                <w:rFonts w:ascii="Times New Roman" w:hAnsi="Times New Roman" w:cs="Times New Roman"/>
                <w:b w:val="0"/>
                <w:i w:val="0"/>
                <w:noProof/>
              </w:rPr>
              <w:t>Capítulo I</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_Toc63688923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1</w:t>
            </w:r>
            <w:r w:rsidR="002179A8" w:rsidRPr="00333D21">
              <w:rPr>
                <w:rFonts w:ascii="Times New Roman" w:hAnsi="Times New Roman" w:cs="Times New Roman"/>
                <w:b w:val="0"/>
                <w:i w:val="0"/>
                <w:noProof/>
                <w:webHidden/>
              </w:rPr>
              <w:fldChar w:fldCharType="end"/>
            </w:r>
          </w:hyperlink>
        </w:p>
        <w:p w14:paraId="748441A2" w14:textId="3CFE9189"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24" w:history="1">
            <w:r w:rsidR="002179A8" w:rsidRPr="00333D21">
              <w:rPr>
                <w:rStyle w:val="Hipervnculo"/>
                <w:rFonts w:ascii="Times New Roman" w:hAnsi="Times New Roman" w:cs="Times New Roman"/>
                <w:b w:val="0"/>
                <w:noProof/>
                <w:sz w:val="24"/>
                <w:szCs w:val="24"/>
              </w:rPr>
              <w:t>1.1 Introducción</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_Toc63688924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1</w:t>
            </w:r>
            <w:r w:rsidR="002179A8" w:rsidRPr="00333D21">
              <w:rPr>
                <w:rFonts w:ascii="Times New Roman" w:hAnsi="Times New Roman" w:cs="Times New Roman"/>
                <w:b w:val="0"/>
                <w:noProof/>
                <w:webHidden/>
                <w:sz w:val="24"/>
                <w:szCs w:val="24"/>
              </w:rPr>
              <w:fldChar w:fldCharType="end"/>
            </w:r>
          </w:hyperlink>
        </w:p>
        <w:p w14:paraId="10D6DB71" w14:textId="6C7800C9"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25" w:history="1">
            <w:r w:rsidR="002179A8" w:rsidRPr="00333D21">
              <w:rPr>
                <w:rStyle w:val="Hipervnculo"/>
                <w:rFonts w:ascii="Times New Roman" w:hAnsi="Times New Roman" w:cs="Times New Roman"/>
                <w:b w:val="0"/>
                <w:noProof/>
                <w:sz w:val="24"/>
                <w:szCs w:val="24"/>
              </w:rPr>
              <w:t>1.2 Justificación</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_Toc63688925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2</w:t>
            </w:r>
            <w:r w:rsidR="002179A8" w:rsidRPr="00333D21">
              <w:rPr>
                <w:rFonts w:ascii="Times New Roman" w:hAnsi="Times New Roman" w:cs="Times New Roman"/>
                <w:b w:val="0"/>
                <w:noProof/>
                <w:webHidden/>
                <w:sz w:val="24"/>
                <w:szCs w:val="24"/>
              </w:rPr>
              <w:fldChar w:fldCharType="end"/>
            </w:r>
          </w:hyperlink>
        </w:p>
        <w:p w14:paraId="1DAD2DA2" w14:textId="1E7E2E54"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26" w:history="1">
            <w:r w:rsidR="002179A8" w:rsidRPr="00333D21">
              <w:rPr>
                <w:rStyle w:val="Hipervnculo"/>
                <w:rFonts w:ascii="Times New Roman" w:eastAsia="Calibri" w:hAnsi="Times New Roman" w:cs="Times New Roman"/>
                <w:b w:val="0"/>
                <w:noProof/>
                <w:sz w:val="24"/>
                <w:szCs w:val="24"/>
              </w:rPr>
              <w:t>1.3 Contextualización diagnóstica</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_Toc63688926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5</w:t>
            </w:r>
            <w:r w:rsidR="002179A8" w:rsidRPr="00333D21">
              <w:rPr>
                <w:rFonts w:ascii="Times New Roman" w:hAnsi="Times New Roman" w:cs="Times New Roman"/>
                <w:b w:val="0"/>
                <w:noProof/>
                <w:webHidden/>
                <w:sz w:val="24"/>
                <w:szCs w:val="24"/>
              </w:rPr>
              <w:fldChar w:fldCharType="end"/>
            </w:r>
          </w:hyperlink>
        </w:p>
        <w:p w14:paraId="17BC6071" w14:textId="1F26A61D"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27" w:history="1">
            <w:r w:rsidR="002179A8" w:rsidRPr="00333D21">
              <w:rPr>
                <w:rStyle w:val="Hipervnculo"/>
                <w:rFonts w:ascii="Times New Roman" w:hAnsi="Times New Roman" w:cs="Times New Roman"/>
                <w:b w:val="0"/>
                <w:noProof/>
                <w:sz w:val="24"/>
                <w:szCs w:val="24"/>
              </w:rPr>
              <w:t>1.4. Antecedentes contextuales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_Toc63688927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9</w:t>
            </w:r>
            <w:r w:rsidR="002179A8" w:rsidRPr="00333D21">
              <w:rPr>
                <w:rFonts w:ascii="Times New Roman" w:hAnsi="Times New Roman" w:cs="Times New Roman"/>
                <w:b w:val="0"/>
                <w:noProof/>
                <w:webHidden/>
                <w:sz w:val="24"/>
                <w:szCs w:val="24"/>
              </w:rPr>
              <w:fldChar w:fldCharType="end"/>
            </w:r>
          </w:hyperlink>
        </w:p>
        <w:p w14:paraId="30CC988F" w14:textId="4FAAD9BC"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28" w:history="1">
            <w:r w:rsidR="002179A8" w:rsidRPr="00333D21">
              <w:rPr>
                <w:rStyle w:val="Hipervnculo"/>
                <w:rFonts w:ascii="Times New Roman" w:hAnsi="Times New Roman" w:cs="Times New Roman"/>
                <w:noProof/>
                <w:sz w:val="24"/>
                <w:szCs w:val="24"/>
              </w:rPr>
              <w:t>1.4.1 Proceso histórico y del interés mundial por la igualdad de las mujeres</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_Toc63688928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10</w:t>
            </w:r>
            <w:r w:rsidR="002179A8" w:rsidRPr="00333D21">
              <w:rPr>
                <w:rFonts w:ascii="Times New Roman" w:hAnsi="Times New Roman" w:cs="Times New Roman"/>
                <w:noProof/>
                <w:webHidden/>
                <w:sz w:val="24"/>
                <w:szCs w:val="24"/>
              </w:rPr>
              <w:fldChar w:fldCharType="end"/>
            </w:r>
          </w:hyperlink>
        </w:p>
        <w:p w14:paraId="340560B2" w14:textId="28DA20FF"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29" w:history="1">
            <w:r w:rsidR="002179A8" w:rsidRPr="00333D21">
              <w:rPr>
                <w:rStyle w:val="Hipervnculo"/>
                <w:rFonts w:ascii="Times New Roman" w:hAnsi="Times New Roman" w:cs="Times New Roman"/>
                <w:noProof/>
                <w:sz w:val="24"/>
                <w:szCs w:val="24"/>
              </w:rPr>
              <w:t>1.4.2. Abordaje de la Violencia Doméstica a Nivel Judicial en Costa Rica</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_Toc63688929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13</w:t>
            </w:r>
            <w:r w:rsidR="002179A8" w:rsidRPr="00333D21">
              <w:rPr>
                <w:rFonts w:ascii="Times New Roman" w:hAnsi="Times New Roman" w:cs="Times New Roman"/>
                <w:noProof/>
                <w:webHidden/>
                <w:sz w:val="24"/>
                <w:szCs w:val="24"/>
              </w:rPr>
              <w:fldChar w:fldCharType="end"/>
            </w:r>
          </w:hyperlink>
        </w:p>
        <w:p w14:paraId="4D5B4FB9" w14:textId="0C767AF0"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30" w:history="1">
            <w:r w:rsidR="002179A8" w:rsidRPr="00333D21">
              <w:rPr>
                <w:rStyle w:val="Hipervnculo"/>
                <w:rFonts w:ascii="Times New Roman" w:hAnsi="Times New Roman" w:cs="Times New Roman"/>
                <w:noProof/>
                <w:sz w:val="24"/>
                <w:szCs w:val="24"/>
              </w:rPr>
              <w:t>1.4.3. Estadísticas a Nivel Nacional sobre Violencia Doméstica</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_Toc63688930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13</w:t>
            </w:r>
            <w:r w:rsidR="002179A8" w:rsidRPr="00333D21">
              <w:rPr>
                <w:rFonts w:ascii="Times New Roman" w:hAnsi="Times New Roman" w:cs="Times New Roman"/>
                <w:noProof/>
                <w:webHidden/>
                <w:sz w:val="24"/>
                <w:szCs w:val="24"/>
              </w:rPr>
              <w:fldChar w:fldCharType="end"/>
            </w:r>
          </w:hyperlink>
        </w:p>
        <w:p w14:paraId="430E5BDA" w14:textId="7C80F36B"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31" w:history="1">
            <w:r w:rsidR="002179A8" w:rsidRPr="00333D21">
              <w:rPr>
                <w:rStyle w:val="Hipervnculo"/>
                <w:rFonts w:ascii="Times New Roman" w:hAnsi="Times New Roman" w:cs="Times New Roman"/>
                <w:b w:val="0"/>
                <w:noProof/>
                <w:sz w:val="24"/>
                <w:szCs w:val="24"/>
              </w:rPr>
              <w:t>1.5. Estado de la cuestión</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_Toc63688931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15</w:t>
            </w:r>
            <w:r w:rsidR="002179A8" w:rsidRPr="00333D21">
              <w:rPr>
                <w:rFonts w:ascii="Times New Roman" w:hAnsi="Times New Roman" w:cs="Times New Roman"/>
                <w:b w:val="0"/>
                <w:noProof/>
                <w:webHidden/>
                <w:sz w:val="24"/>
                <w:szCs w:val="24"/>
              </w:rPr>
              <w:fldChar w:fldCharType="end"/>
            </w:r>
          </w:hyperlink>
        </w:p>
        <w:p w14:paraId="18E68666" w14:textId="03A0B136"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32" w:history="1">
            <w:r w:rsidR="002179A8" w:rsidRPr="00333D21">
              <w:rPr>
                <w:rStyle w:val="Hipervnculo"/>
                <w:rFonts w:ascii="Times New Roman" w:hAnsi="Times New Roman" w:cs="Times New Roman"/>
                <w:noProof/>
                <w:sz w:val="24"/>
                <w:szCs w:val="24"/>
              </w:rPr>
              <w:t>1.5.1. Violencia Intrafamiliar</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_Toc63688932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17</w:t>
            </w:r>
            <w:r w:rsidR="002179A8" w:rsidRPr="00333D21">
              <w:rPr>
                <w:rFonts w:ascii="Times New Roman" w:hAnsi="Times New Roman" w:cs="Times New Roman"/>
                <w:noProof/>
                <w:webHidden/>
                <w:sz w:val="24"/>
                <w:szCs w:val="24"/>
              </w:rPr>
              <w:fldChar w:fldCharType="end"/>
            </w:r>
          </w:hyperlink>
        </w:p>
        <w:p w14:paraId="5EBEC67A" w14:textId="1161B05C"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33" w:history="1">
            <w:r w:rsidR="002179A8" w:rsidRPr="00333D21">
              <w:rPr>
                <w:rStyle w:val="Hipervnculo"/>
                <w:rFonts w:ascii="Times New Roman" w:hAnsi="Times New Roman" w:cs="Times New Roman"/>
                <w:noProof/>
                <w:sz w:val="24"/>
                <w:szCs w:val="24"/>
              </w:rPr>
              <w:t>1.5.2. Vulnerabilidad cognitiva</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_Toc63688933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19</w:t>
            </w:r>
            <w:r w:rsidR="002179A8" w:rsidRPr="00333D21">
              <w:rPr>
                <w:rFonts w:ascii="Times New Roman" w:hAnsi="Times New Roman" w:cs="Times New Roman"/>
                <w:noProof/>
                <w:webHidden/>
                <w:sz w:val="24"/>
                <w:szCs w:val="24"/>
              </w:rPr>
              <w:fldChar w:fldCharType="end"/>
            </w:r>
          </w:hyperlink>
        </w:p>
        <w:p w14:paraId="57D124D7" w14:textId="7A3D9E2B"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34" w:history="1">
            <w:r w:rsidR="002179A8" w:rsidRPr="00333D21">
              <w:rPr>
                <w:rStyle w:val="Hipervnculo"/>
                <w:rFonts w:ascii="Times New Roman" w:hAnsi="Times New Roman" w:cs="Times New Roman"/>
                <w:b w:val="0"/>
                <w:i w:val="0"/>
                <w:noProof/>
              </w:rPr>
              <w:t>Capítulo II</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_Toc63688934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22</w:t>
            </w:r>
            <w:r w:rsidR="002179A8" w:rsidRPr="00333D21">
              <w:rPr>
                <w:rFonts w:ascii="Times New Roman" w:hAnsi="Times New Roman" w:cs="Times New Roman"/>
                <w:b w:val="0"/>
                <w:i w:val="0"/>
                <w:noProof/>
                <w:webHidden/>
              </w:rPr>
              <w:fldChar w:fldCharType="end"/>
            </w:r>
          </w:hyperlink>
        </w:p>
        <w:p w14:paraId="0D7F22E0" w14:textId="2B6EA967"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35" w:history="1">
            <w:r w:rsidR="002179A8" w:rsidRPr="00333D21">
              <w:rPr>
                <w:rStyle w:val="Hipervnculo"/>
                <w:rFonts w:ascii="Times New Roman" w:hAnsi="Times New Roman" w:cs="Times New Roman"/>
                <w:b w:val="0"/>
                <w:i w:val="0"/>
                <w:noProof/>
              </w:rPr>
              <w:t>Problematización</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_Toc63688935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22</w:t>
            </w:r>
            <w:r w:rsidR="002179A8" w:rsidRPr="00333D21">
              <w:rPr>
                <w:rFonts w:ascii="Times New Roman" w:hAnsi="Times New Roman" w:cs="Times New Roman"/>
                <w:b w:val="0"/>
                <w:i w:val="0"/>
                <w:noProof/>
                <w:webHidden/>
              </w:rPr>
              <w:fldChar w:fldCharType="end"/>
            </w:r>
          </w:hyperlink>
        </w:p>
        <w:p w14:paraId="6169ABE3" w14:textId="0B620593"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36" w:history="1">
            <w:r w:rsidR="002179A8" w:rsidRPr="00333D21">
              <w:rPr>
                <w:rStyle w:val="Hipervnculo"/>
                <w:rFonts w:ascii="Times New Roman" w:hAnsi="Times New Roman" w:cs="Times New Roman"/>
                <w:b w:val="0"/>
                <w:noProof/>
                <w:sz w:val="24"/>
                <w:szCs w:val="24"/>
              </w:rPr>
              <w:t>2.1. Planteamiento del problema</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_Toc63688936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22</w:t>
            </w:r>
            <w:r w:rsidR="002179A8" w:rsidRPr="00333D21">
              <w:rPr>
                <w:rFonts w:ascii="Times New Roman" w:hAnsi="Times New Roman" w:cs="Times New Roman"/>
                <w:b w:val="0"/>
                <w:noProof/>
                <w:webHidden/>
                <w:sz w:val="24"/>
                <w:szCs w:val="24"/>
              </w:rPr>
              <w:fldChar w:fldCharType="end"/>
            </w:r>
          </w:hyperlink>
        </w:p>
        <w:p w14:paraId="2DF40C5E" w14:textId="26B5EC6C"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37" w:history="1">
            <w:r w:rsidR="002179A8" w:rsidRPr="00333D21">
              <w:rPr>
                <w:rStyle w:val="Hipervnculo"/>
                <w:rFonts w:ascii="Times New Roman" w:hAnsi="Times New Roman" w:cs="Times New Roman"/>
                <w:b w:val="0"/>
                <w:noProof/>
                <w:sz w:val="24"/>
                <w:szCs w:val="24"/>
              </w:rPr>
              <w:t>2.2. Objetivos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_Toc63688937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24</w:t>
            </w:r>
            <w:r w:rsidR="002179A8" w:rsidRPr="00333D21">
              <w:rPr>
                <w:rFonts w:ascii="Times New Roman" w:hAnsi="Times New Roman" w:cs="Times New Roman"/>
                <w:b w:val="0"/>
                <w:noProof/>
                <w:webHidden/>
                <w:sz w:val="24"/>
                <w:szCs w:val="24"/>
              </w:rPr>
              <w:fldChar w:fldCharType="end"/>
            </w:r>
          </w:hyperlink>
        </w:p>
        <w:p w14:paraId="068B3104" w14:textId="081908B6"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38" w:history="1">
            <w:r w:rsidR="002179A8" w:rsidRPr="00333D21">
              <w:rPr>
                <w:rStyle w:val="Hipervnculo"/>
                <w:rFonts w:ascii="Times New Roman" w:hAnsi="Times New Roman" w:cs="Times New Roman"/>
                <w:noProof/>
                <w:sz w:val="24"/>
                <w:szCs w:val="24"/>
              </w:rPr>
              <w:t>2.2.1 Objetivo General</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_Toc63688938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24</w:t>
            </w:r>
            <w:r w:rsidR="002179A8" w:rsidRPr="00333D21">
              <w:rPr>
                <w:rFonts w:ascii="Times New Roman" w:hAnsi="Times New Roman" w:cs="Times New Roman"/>
                <w:noProof/>
                <w:webHidden/>
                <w:sz w:val="24"/>
                <w:szCs w:val="24"/>
              </w:rPr>
              <w:fldChar w:fldCharType="end"/>
            </w:r>
          </w:hyperlink>
        </w:p>
        <w:p w14:paraId="24E42924" w14:textId="38EE9635"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39" w:history="1">
            <w:r w:rsidR="002179A8" w:rsidRPr="00333D21">
              <w:rPr>
                <w:rStyle w:val="Hipervnculo"/>
                <w:rFonts w:ascii="Times New Roman" w:hAnsi="Times New Roman" w:cs="Times New Roman"/>
                <w:noProof/>
                <w:sz w:val="24"/>
                <w:szCs w:val="24"/>
              </w:rPr>
              <w:t>2.2.2 Objetivos Específicos</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_Toc63688939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24</w:t>
            </w:r>
            <w:r w:rsidR="002179A8" w:rsidRPr="00333D21">
              <w:rPr>
                <w:rFonts w:ascii="Times New Roman" w:hAnsi="Times New Roman" w:cs="Times New Roman"/>
                <w:noProof/>
                <w:webHidden/>
                <w:sz w:val="24"/>
                <w:szCs w:val="24"/>
              </w:rPr>
              <w:fldChar w:fldCharType="end"/>
            </w:r>
          </w:hyperlink>
        </w:p>
        <w:p w14:paraId="600B16E1" w14:textId="47EC253F"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40" w:history="1">
            <w:r w:rsidR="002179A8" w:rsidRPr="00333D21">
              <w:rPr>
                <w:rStyle w:val="Hipervnculo"/>
                <w:rFonts w:ascii="Times New Roman" w:hAnsi="Times New Roman" w:cs="Times New Roman"/>
                <w:b w:val="0"/>
                <w:i w:val="0"/>
                <w:noProof/>
              </w:rPr>
              <w:t>Capítulo III</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_Toc63688940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25</w:t>
            </w:r>
            <w:r w:rsidR="002179A8" w:rsidRPr="00333D21">
              <w:rPr>
                <w:rFonts w:ascii="Times New Roman" w:hAnsi="Times New Roman" w:cs="Times New Roman"/>
                <w:b w:val="0"/>
                <w:i w:val="0"/>
                <w:noProof/>
                <w:webHidden/>
              </w:rPr>
              <w:fldChar w:fldCharType="end"/>
            </w:r>
          </w:hyperlink>
        </w:p>
        <w:p w14:paraId="2479968C" w14:textId="2CC976CE"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41" w:history="1">
            <w:r w:rsidR="002179A8" w:rsidRPr="00333D21">
              <w:rPr>
                <w:rStyle w:val="Hipervnculo"/>
                <w:rFonts w:ascii="Times New Roman" w:hAnsi="Times New Roman" w:cs="Times New Roman"/>
                <w:b w:val="0"/>
                <w:i w:val="0"/>
                <w:noProof/>
              </w:rPr>
              <w:t>Marco teórico</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_Toc63688941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25</w:t>
            </w:r>
            <w:r w:rsidR="002179A8" w:rsidRPr="00333D21">
              <w:rPr>
                <w:rFonts w:ascii="Times New Roman" w:hAnsi="Times New Roman" w:cs="Times New Roman"/>
                <w:b w:val="0"/>
                <w:i w:val="0"/>
                <w:noProof/>
                <w:webHidden/>
              </w:rPr>
              <w:fldChar w:fldCharType="end"/>
            </w:r>
          </w:hyperlink>
        </w:p>
        <w:p w14:paraId="67914668" w14:textId="62BC1508"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42" w:history="1">
            <w:r w:rsidR="002179A8" w:rsidRPr="00333D21">
              <w:rPr>
                <w:rStyle w:val="Hipervnculo"/>
                <w:rFonts w:ascii="Times New Roman" w:hAnsi="Times New Roman" w:cs="Times New Roman"/>
                <w:b w:val="0"/>
                <w:noProof/>
                <w:sz w:val="24"/>
                <w:szCs w:val="24"/>
              </w:rPr>
              <w:t>3.1. Violencia intrafamiliar: mujer desde la perspectiva de género</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_Toc63688942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25</w:t>
            </w:r>
            <w:r w:rsidR="002179A8" w:rsidRPr="00333D21">
              <w:rPr>
                <w:rFonts w:ascii="Times New Roman" w:hAnsi="Times New Roman" w:cs="Times New Roman"/>
                <w:b w:val="0"/>
                <w:noProof/>
                <w:webHidden/>
                <w:sz w:val="24"/>
                <w:szCs w:val="24"/>
              </w:rPr>
              <w:fldChar w:fldCharType="end"/>
            </w:r>
          </w:hyperlink>
        </w:p>
        <w:p w14:paraId="4B4703E9" w14:textId="16946C5F"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43" w:history="1">
            <w:r w:rsidR="002179A8" w:rsidRPr="00333D21">
              <w:rPr>
                <w:rStyle w:val="Hipervnculo"/>
                <w:rFonts w:ascii="Times New Roman" w:hAnsi="Times New Roman" w:cs="Times New Roman"/>
                <w:b w:val="0"/>
                <w:noProof/>
                <w:sz w:val="24"/>
                <w:szCs w:val="24"/>
              </w:rPr>
              <w:t>3.2. Cerebro</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_Toc63688943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25</w:t>
            </w:r>
            <w:r w:rsidR="002179A8" w:rsidRPr="00333D21">
              <w:rPr>
                <w:rFonts w:ascii="Times New Roman" w:hAnsi="Times New Roman" w:cs="Times New Roman"/>
                <w:b w:val="0"/>
                <w:noProof/>
                <w:webHidden/>
                <w:sz w:val="24"/>
                <w:szCs w:val="24"/>
              </w:rPr>
              <w:fldChar w:fldCharType="end"/>
            </w:r>
          </w:hyperlink>
        </w:p>
        <w:p w14:paraId="7E6DCC58" w14:textId="5A07490D"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44" w:history="1">
            <w:r w:rsidR="002179A8" w:rsidRPr="00333D21">
              <w:rPr>
                <w:rStyle w:val="Hipervnculo"/>
                <w:rFonts w:ascii="Times New Roman" w:hAnsi="Times New Roman" w:cs="Times New Roman"/>
                <w:b w:val="0"/>
                <w:noProof/>
                <w:sz w:val="24"/>
                <w:szCs w:val="24"/>
              </w:rPr>
              <w:t>3.3. Habilidades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_Toc63688944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25</w:t>
            </w:r>
            <w:r w:rsidR="002179A8" w:rsidRPr="00333D21">
              <w:rPr>
                <w:rFonts w:ascii="Times New Roman" w:hAnsi="Times New Roman" w:cs="Times New Roman"/>
                <w:b w:val="0"/>
                <w:noProof/>
                <w:webHidden/>
                <w:sz w:val="24"/>
                <w:szCs w:val="24"/>
              </w:rPr>
              <w:fldChar w:fldCharType="end"/>
            </w:r>
          </w:hyperlink>
        </w:p>
        <w:p w14:paraId="55454FD7" w14:textId="2884BD34"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45" w:history="1">
            <w:r w:rsidR="002179A8" w:rsidRPr="00333D21">
              <w:rPr>
                <w:rStyle w:val="Hipervnculo"/>
                <w:rFonts w:ascii="Times New Roman" w:hAnsi="Times New Roman" w:cs="Times New Roman"/>
                <w:b w:val="0"/>
                <w:noProof/>
                <w:sz w:val="24"/>
                <w:szCs w:val="24"/>
              </w:rPr>
              <w:t>3.4 Habilidades Cognitivas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_Toc63688945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27</w:t>
            </w:r>
            <w:r w:rsidR="002179A8" w:rsidRPr="00333D21">
              <w:rPr>
                <w:rFonts w:ascii="Times New Roman" w:hAnsi="Times New Roman" w:cs="Times New Roman"/>
                <w:b w:val="0"/>
                <w:noProof/>
                <w:webHidden/>
                <w:sz w:val="24"/>
                <w:szCs w:val="24"/>
              </w:rPr>
              <w:fldChar w:fldCharType="end"/>
            </w:r>
          </w:hyperlink>
        </w:p>
        <w:p w14:paraId="5F14DF51" w14:textId="51BC9365"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46" w:history="1">
            <w:r w:rsidR="002179A8" w:rsidRPr="00333D21">
              <w:rPr>
                <w:rStyle w:val="Hipervnculo"/>
                <w:rFonts w:ascii="Times New Roman" w:hAnsi="Times New Roman" w:cs="Times New Roman"/>
                <w:b w:val="0"/>
                <w:noProof/>
                <w:sz w:val="24"/>
                <w:szCs w:val="24"/>
              </w:rPr>
              <w:t>3.5 Vulnerabilidad</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_Toc63688946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27</w:t>
            </w:r>
            <w:r w:rsidR="002179A8" w:rsidRPr="00333D21">
              <w:rPr>
                <w:rFonts w:ascii="Times New Roman" w:hAnsi="Times New Roman" w:cs="Times New Roman"/>
                <w:b w:val="0"/>
                <w:noProof/>
                <w:webHidden/>
                <w:sz w:val="24"/>
                <w:szCs w:val="24"/>
              </w:rPr>
              <w:fldChar w:fldCharType="end"/>
            </w:r>
          </w:hyperlink>
        </w:p>
        <w:p w14:paraId="3EC81C10" w14:textId="2DA091B6"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47" w:history="1">
            <w:r w:rsidR="002179A8" w:rsidRPr="00333D21">
              <w:rPr>
                <w:rStyle w:val="Hipervnculo"/>
                <w:rFonts w:ascii="Times New Roman" w:hAnsi="Times New Roman" w:cs="Times New Roman"/>
                <w:noProof/>
                <w:sz w:val="24"/>
                <w:szCs w:val="24"/>
              </w:rPr>
              <w:t>3.5.1 Tipos de Vulnerabilidad</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_Toc63688947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27</w:t>
            </w:r>
            <w:r w:rsidR="002179A8" w:rsidRPr="00333D21">
              <w:rPr>
                <w:rFonts w:ascii="Times New Roman" w:hAnsi="Times New Roman" w:cs="Times New Roman"/>
                <w:noProof/>
                <w:webHidden/>
                <w:sz w:val="24"/>
                <w:szCs w:val="24"/>
              </w:rPr>
              <w:fldChar w:fldCharType="end"/>
            </w:r>
          </w:hyperlink>
        </w:p>
        <w:p w14:paraId="1DE97266" w14:textId="769DF14A"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48" w:history="1">
            <w:r w:rsidR="002179A8" w:rsidRPr="00333D21">
              <w:rPr>
                <w:rStyle w:val="Hipervnculo"/>
                <w:rFonts w:ascii="Times New Roman" w:hAnsi="Times New Roman" w:cs="Times New Roman"/>
                <w:noProof/>
                <w:sz w:val="24"/>
                <w:szCs w:val="24"/>
              </w:rPr>
              <w:t>3.5.2 Efectos de la Vulnerabilidad Cognitiva</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_Toc63688948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28</w:t>
            </w:r>
            <w:r w:rsidR="002179A8" w:rsidRPr="00333D21">
              <w:rPr>
                <w:rFonts w:ascii="Times New Roman" w:hAnsi="Times New Roman" w:cs="Times New Roman"/>
                <w:noProof/>
                <w:webHidden/>
                <w:sz w:val="24"/>
                <w:szCs w:val="24"/>
              </w:rPr>
              <w:fldChar w:fldCharType="end"/>
            </w:r>
          </w:hyperlink>
        </w:p>
        <w:p w14:paraId="1FD66BB4" w14:textId="12718E6F"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49" w:history="1">
            <w:r w:rsidR="002179A8" w:rsidRPr="00333D21">
              <w:rPr>
                <w:rStyle w:val="Hipervnculo"/>
                <w:rFonts w:ascii="Times New Roman" w:hAnsi="Times New Roman" w:cs="Times New Roman"/>
                <w:noProof/>
                <w:sz w:val="24"/>
                <w:szCs w:val="24"/>
              </w:rPr>
              <w:t>3.5.3 Neurociencia</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_Toc63688949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28</w:t>
            </w:r>
            <w:r w:rsidR="002179A8" w:rsidRPr="00333D21">
              <w:rPr>
                <w:rFonts w:ascii="Times New Roman" w:hAnsi="Times New Roman" w:cs="Times New Roman"/>
                <w:noProof/>
                <w:webHidden/>
                <w:sz w:val="24"/>
                <w:szCs w:val="24"/>
              </w:rPr>
              <w:fldChar w:fldCharType="end"/>
            </w:r>
          </w:hyperlink>
        </w:p>
        <w:p w14:paraId="7FEE9827" w14:textId="142D751A"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50" w:history="1">
            <w:r w:rsidR="002179A8" w:rsidRPr="00333D21">
              <w:rPr>
                <w:rStyle w:val="Hipervnculo"/>
                <w:rFonts w:ascii="Times New Roman" w:hAnsi="Times New Roman" w:cs="Times New Roman"/>
                <w:noProof/>
                <w:sz w:val="24"/>
                <w:szCs w:val="24"/>
              </w:rPr>
              <w:t>3.5.4 Violencia de Género</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_Toc63688950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28</w:t>
            </w:r>
            <w:r w:rsidR="002179A8" w:rsidRPr="00333D21">
              <w:rPr>
                <w:rFonts w:ascii="Times New Roman" w:hAnsi="Times New Roman" w:cs="Times New Roman"/>
                <w:noProof/>
                <w:webHidden/>
                <w:sz w:val="24"/>
                <w:szCs w:val="24"/>
              </w:rPr>
              <w:fldChar w:fldCharType="end"/>
            </w:r>
          </w:hyperlink>
        </w:p>
        <w:p w14:paraId="7F50001B" w14:textId="1ACA8E09"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51" w:history="1">
            <w:r w:rsidR="002179A8" w:rsidRPr="00333D21">
              <w:rPr>
                <w:rStyle w:val="Hipervnculo"/>
                <w:rFonts w:ascii="Times New Roman" w:hAnsi="Times New Roman" w:cs="Times New Roman"/>
                <w:noProof/>
                <w:sz w:val="24"/>
                <w:szCs w:val="24"/>
              </w:rPr>
              <w:t>3.5.5 Violencia Contra la Mujer</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_Toc63688951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30</w:t>
            </w:r>
            <w:r w:rsidR="002179A8" w:rsidRPr="00333D21">
              <w:rPr>
                <w:rFonts w:ascii="Times New Roman" w:hAnsi="Times New Roman" w:cs="Times New Roman"/>
                <w:noProof/>
                <w:webHidden/>
                <w:sz w:val="24"/>
                <w:szCs w:val="24"/>
              </w:rPr>
              <w:fldChar w:fldCharType="end"/>
            </w:r>
          </w:hyperlink>
        </w:p>
        <w:p w14:paraId="3B211A66" w14:textId="0D3E504B"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52" w:history="1">
            <w:r w:rsidR="002179A8" w:rsidRPr="00333D21">
              <w:rPr>
                <w:rStyle w:val="Hipervnculo"/>
                <w:rFonts w:ascii="Times New Roman" w:hAnsi="Times New Roman" w:cs="Times New Roman"/>
                <w:noProof/>
                <w:sz w:val="24"/>
                <w:szCs w:val="24"/>
              </w:rPr>
              <w:t>3.2.6 Formas de V. I. contra las mujeres en relaciones de pareja presentes o pasadas</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_Toc63688952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33</w:t>
            </w:r>
            <w:r w:rsidR="002179A8" w:rsidRPr="00333D21">
              <w:rPr>
                <w:rFonts w:ascii="Times New Roman" w:hAnsi="Times New Roman" w:cs="Times New Roman"/>
                <w:noProof/>
                <w:webHidden/>
                <w:sz w:val="24"/>
                <w:szCs w:val="24"/>
              </w:rPr>
              <w:fldChar w:fldCharType="end"/>
            </w:r>
          </w:hyperlink>
        </w:p>
        <w:p w14:paraId="7FFE8801" w14:textId="160A7B4E"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53" w:history="1">
            <w:r w:rsidR="002179A8" w:rsidRPr="00333D21">
              <w:rPr>
                <w:rStyle w:val="Hipervnculo"/>
                <w:rFonts w:ascii="Times New Roman" w:hAnsi="Times New Roman" w:cs="Times New Roman"/>
                <w:noProof/>
                <w:sz w:val="24"/>
                <w:szCs w:val="24"/>
              </w:rPr>
              <w:t>3.2.7 Ciclo de la V. D./ V. I.</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_Toc63688953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34</w:t>
            </w:r>
            <w:r w:rsidR="002179A8" w:rsidRPr="00333D21">
              <w:rPr>
                <w:rFonts w:ascii="Times New Roman" w:hAnsi="Times New Roman" w:cs="Times New Roman"/>
                <w:noProof/>
                <w:webHidden/>
                <w:sz w:val="24"/>
                <w:szCs w:val="24"/>
              </w:rPr>
              <w:fldChar w:fldCharType="end"/>
            </w:r>
          </w:hyperlink>
        </w:p>
        <w:p w14:paraId="62B47D1B" w14:textId="6563FD76"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54" w:history="1">
            <w:r w:rsidR="002179A8" w:rsidRPr="00333D21">
              <w:rPr>
                <w:rStyle w:val="Hipervnculo"/>
                <w:rFonts w:ascii="Times New Roman" w:hAnsi="Times New Roman" w:cs="Times New Roman"/>
                <w:noProof/>
                <w:sz w:val="24"/>
                <w:szCs w:val="24"/>
              </w:rPr>
              <w:t>3.2.8 Víctimas</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_Toc63688954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35</w:t>
            </w:r>
            <w:r w:rsidR="002179A8" w:rsidRPr="00333D21">
              <w:rPr>
                <w:rFonts w:ascii="Times New Roman" w:hAnsi="Times New Roman" w:cs="Times New Roman"/>
                <w:noProof/>
                <w:webHidden/>
                <w:sz w:val="24"/>
                <w:szCs w:val="24"/>
              </w:rPr>
              <w:fldChar w:fldCharType="end"/>
            </w:r>
          </w:hyperlink>
        </w:p>
        <w:p w14:paraId="413060A1" w14:textId="2F664B28"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55" w:history="1">
            <w:r w:rsidR="002179A8" w:rsidRPr="00333D21">
              <w:rPr>
                <w:rStyle w:val="Hipervnculo"/>
                <w:rFonts w:ascii="Times New Roman" w:hAnsi="Times New Roman" w:cs="Times New Roman"/>
                <w:b w:val="0"/>
                <w:i w:val="0"/>
                <w:noProof/>
              </w:rPr>
              <w:t>Capítulo IV</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_Toc63688955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37</w:t>
            </w:r>
            <w:r w:rsidR="002179A8" w:rsidRPr="00333D21">
              <w:rPr>
                <w:rFonts w:ascii="Times New Roman" w:hAnsi="Times New Roman" w:cs="Times New Roman"/>
                <w:b w:val="0"/>
                <w:i w:val="0"/>
                <w:noProof/>
                <w:webHidden/>
              </w:rPr>
              <w:fldChar w:fldCharType="end"/>
            </w:r>
          </w:hyperlink>
        </w:p>
        <w:p w14:paraId="77F7E8EF" w14:textId="6E998A58"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56" w:history="1">
            <w:r w:rsidR="002179A8" w:rsidRPr="00333D21">
              <w:rPr>
                <w:rStyle w:val="Hipervnculo"/>
                <w:rFonts w:ascii="Times New Roman" w:hAnsi="Times New Roman" w:cs="Times New Roman"/>
                <w:b w:val="0"/>
                <w:i w:val="0"/>
                <w:noProof/>
              </w:rPr>
              <w:t>Estrategia Metodológica</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_Toc63688956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37</w:t>
            </w:r>
            <w:r w:rsidR="002179A8" w:rsidRPr="00333D21">
              <w:rPr>
                <w:rFonts w:ascii="Times New Roman" w:hAnsi="Times New Roman" w:cs="Times New Roman"/>
                <w:b w:val="0"/>
                <w:i w:val="0"/>
                <w:noProof/>
                <w:webHidden/>
              </w:rPr>
              <w:fldChar w:fldCharType="end"/>
            </w:r>
          </w:hyperlink>
        </w:p>
        <w:p w14:paraId="7CB020F7" w14:textId="7DE42DB5"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57" w:history="1">
            <w:r w:rsidR="002179A8" w:rsidRPr="00333D21">
              <w:rPr>
                <w:rStyle w:val="Hipervnculo"/>
                <w:rFonts w:ascii="Times New Roman" w:hAnsi="Times New Roman" w:cs="Times New Roman"/>
                <w:b w:val="0"/>
                <w:noProof/>
                <w:sz w:val="24"/>
                <w:szCs w:val="24"/>
              </w:rPr>
              <w:t>4.1 Estrategia Metodológica</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_Toc63688957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37</w:t>
            </w:r>
            <w:r w:rsidR="002179A8" w:rsidRPr="00333D21">
              <w:rPr>
                <w:rFonts w:ascii="Times New Roman" w:hAnsi="Times New Roman" w:cs="Times New Roman"/>
                <w:b w:val="0"/>
                <w:noProof/>
                <w:webHidden/>
                <w:sz w:val="24"/>
                <w:szCs w:val="24"/>
              </w:rPr>
              <w:fldChar w:fldCharType="end"/>
            </w:r>
          </w:hyperlink>
        </w:p>
        <w:p w14:paraId="0BEDA596" w14:textId="4A526845"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58" w:history="1">
            <w:r w:rsidR="002179A8" w:rsidRPr="00333D21">
              <w:rPr>
                <w:rStyle w:val="Hipervnculo"/>
                <w:rFonts w:ascii="Times New Roman" w:hAnsi="Times New Roman" w:cs="Times New Roman"/>
                <w:b w:val="0"/>
                <w:noProof/>
                <w:sz w:val="24"/>
                <w:szCs w:val="24"/>
              </w:rPr>
              <w:t>4.2 Ubicación Espacio-temporal</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_Toc63688958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37</w:t>
            </w:r>
            <w:r w:rsidR="002179A8" w:rsidRPr="00333D21">
              <w:rPr>
                <w:rFonts w:ascii="Times New Roman" w:hAnsi="Times New Roman" w:cs="Times New Roman"/>
                <w:b w:val="0"/>
                <w:noProof/>
                <w:webHidden/>
                <w:sz w:val="24"/>
                <w:szCs w:val="24"/>
              </w:rPr>
              <w:fldChar w:fldCharType="end"/>
            </w:r>
          </w:hyperlink>
        </w:p>
        <w:p w14:paraId="36F616BA" w14:textId="2DE14653"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59" w:history="1">
            <w:r w:rsidR="002179A8" w:rsidRPr="00333D21">
              <w:rPr>
                <w:rStyle w:val="Hipervnculo"/>
                <w:rFonts w:ascii="Times New Roman" w:hAnsi="Times New Roman" w:cs="Times New Roman"/>
                <w:b w:val="0"/>
                <w:noProof/>
                <w:sz w:val="24"/>
                <w:szCs w:val="24"/>
              </w:rPr>
              <w:t>4.3 Tipo de Investigación</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_Toc63688959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37</w:t>
            </w:r>
            <w:r w:rsidR="002179A8" w:rsidRPr="00333D21">
              <w:rPr>
                <w:rFonts w:ascii="Times New Roman" w:hAnsi="Times New Roman" w:cs="Times New Roman"/>
                <w:b w:val="0"/>
                <w:noProof/>
                <w:webHidden/>
                <w:sz w:val="24"/>
                <w:szCs w:val="24"/>
              </w:rPr>
              <w:fldChar w:fldCharType="end"/>
            </w:r>
          </w:hyperlink>
        </w:p>
        <w:p w14:paraId="19D2AFFE" w14:textId="42C3D418"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60" w:history="1">
            <w:r w:rsidR="002179A8" w:rsidRPr="00333D21">
              <w:rPr>
                <w:rStyle w:val="Hipervnculo"/>
                <w:rFonts w:ascii="Times New Roman" w:hAnsi="Times New Roman" w:cs="Times New Roman"/>
                <w:b w:val="0"/>
                <w:noProof/>
                <w:sz w:val="24"/>
                <w:szCs w:val="24"/>
              </w:rPr>
              <w:t>4.4 Enfoque de Investigación</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_Toc63688960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38</w:t>
            </w:r>
            <w:r w:rsidR="002179A8" w:rsidRPr="00333D21">
              <w:rPr>
                <w:rFonts w:ascii="Times New Roman" w:hAnsi="Times New Roman" w:cs="Times New Roman"/>
                <w:b w:val="0"/>
                <w:noProof/>
                <w:webHidden/>
                <w:sz w:val="24"/>
                <w:szCs w:val="24"/>
              </w:rPr>
              <w:fldChar w:fldCharType="end"/>
            </w:r>
          </w:hyperlink>
        </w:p>
        <w:p w14:paraId="42B6759F" w14:textId="0D8C2F45"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61" w:history="1">
            <w:r w:rsidR="002179A8" w:rsidRPr="00333D21">
              <w:rPr>
                <w:rStyle w:val="Hipervnculo"/>
                <w:rFonts w:ascii="Times New Roman" w:hAnsi="Times New Roman" w:cs="Times New Roman"/>
                <w:b w:val="0"/>
                <w:noProof/>
                <w:sz w:val="24"/>
                <w:szCs w:val="24"/>
              </w:rPr>
              <w:t>4.5 Población de Estudio o Unidades de Análisis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_Toc63688961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38</w:t>
            </w:r>
            <w:r w:rsidR="002179A8" w:rsidRPr="00333D21">
              <w:rPr>
                <w:rFonts w:ascii="Times New Roman" w:hAnsi="Times New Roman" w:cs="Times New Roman"/>
                <w:b w:val="0"/>
                <w:noProof/>
                <w:webHidden/>
                <w:sz w:val="24"/>
                <w:szCs w:val="24"/>
              </w:rPr>
              <w:fldChar w:fldCharType="end"/>
            </w:r>
          </w:hyperlink>
        </w:p>
        <w:p w14:paraId="6CCB2023" w14:textId="1121EAC6"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62" w:history="1">
            <w:r w:rsidR="002179A8" w:rsidRPr="00333D21">
              <w:rPr>
                <w:rStyle w:val="Hipervnculo"/>
                <w:rFonts w:ascii="Times New Roman" w:hAnsi="Times New Roman" w:cs="Times New Roman"/>
                <w:noProof/>
                <w:sz w:val="24"/>
                <w:szCs w:val="24"/>
              </w:rPr>
              <w:t>4.5.1 Unidad de Análisis</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_Toc63688962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39</w:t>
            </w:r>
            <w:r w:rsidR="002179A8" w:rsidRPr="00333D21">
              <w:rPr>
                <w:rFonts w:ascii="Times New Roman" w:hAnsi="Times New Roman" w:cs="Times New Roman"/>
                <w:noProof/>
                <w:webHidden/>
                <w:sz w:val="24"/>
                <w:szCs w:val="24"/>
              </w:rPr>
              <w:fldChar w:fldCharType="end"/>
            </w:r>
          </w:hyperlink>
        </w:p>
        <w:p w14:paraId="479CD494" w14:textId="58EC0E35"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63" w:history="1">
            <w:r w:rsidR="002179A8" w:rsidRPr="00333D21">
              <w:rPr>
                <w:rStyle w:val="Hipervnculo"/>
                <w:rFonts w:ascii="Times New Roman" w:hAnsi="Times New Roman" w:cs="Times New Roman"/>
                <w:noProof/>
                <w:sz w:val="24"/>
                <w:szCs w:val="24"/>
              </w:rPr>
              <w:t>4.5.2 Fuentes de Información</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_Toc63688963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39</w:t>
            </w:r>
            <w:r w:rsidR="002179A8" w:rsidRPr="00333D21">
              <w:rPr>
                <w:rFonts w:ascii="Times New Roman" w:hAnsi="Times New Roman" w:cs="Times New Roman"/>
                <w:noProof/>
                <w:webHidden/>
                <w:sz w:val="24"/>
                <w:szCs w:val="24"/>
              </w:rPr>
              <w:fldChar w:fldCharType="end"/>
            </w:r>
          </w:hyperlink>
        </w:p>
        <w:p w14:paraId="669400F6" w14:textId="145E4583"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64" w:history="1">
            <w:r w:rsidR="002179A8" w:rsidRPr="00333D21">
              <w:rPr>
                <w:rStyle w:val="Hipervnculo"/>
                <w:rFonts w:ascii="Times New Roman" w:hAnsi="Times New Roman" w:cs="Times New Roman"/>
                <w:b w:val="0"/>
                <w:noProof/>
                <w:sz w:val="24"/>
                <w:szCs w:val="24"/>
              </w:rPr>
              <w:t>4.6 Técnicas e instrumentos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_Toc63688964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40</w:t>
            </w:r>
            <w:r w:rsidR="002179A8" w:rsidRPr="00333D21">
              <w:rPr>
                <w:rFonts w:ascii="Times New Roman" w:hAnsi="Times New Roman" w:cs="Times New Roman"/>
                <w:b w:val="0"/>
                <w:noProof/>
                <w:webHidden/>
                <w:sz w:val="24"/>
                <w:szCs w:val="24"/>
              </w:rPr>
              <w:fldChar w:fldCharType="end"/>
            </w:r>
          </w:hyperlink>
        </w:p>
        <w:p w14:paraId="56F5DD58" w14:textId="537B7631"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65" w:history="1">
            <w:r w:rsidR="002179A8" w:rsidRPr="00333D21">
              <w:rPr>
                <w:rStyle w:val="Hipervnculo"/>
                <w:rFonts w:ascii="Times New Roman" w:hAnsi="Times New Roman" w:cs="Times New Roman"/>
                <w:b w:val="0"/>
                <w:noProof/>
                <w:sz w:val="24"/>
                <w:szCs w:val="24"/>
              </w:rPr>
              <w:t>4.7 Consideraciones éticas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_Toc63688965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41</w:t>
            </w:r>
            <w:r w:rsidR="002179A8" w:rsidRPr="00333D21">
              <w:rPr>
                <w:rFonts w:ascii="Times New Roman" w:hAnsi="Times New Roman" w:cs="Times New Roman"/>
                <w:b w:val="0"/>
                <w:noProof/>
                <w:webHidden/>
                <w:sz w:val="24"/>
                <w:szCs w:val="24"/>
              </w:rPr>
              <w:fldChar w:fldCharType="end"/>
            </w:r>
          </w:hyperlink>
        </w:p>
        <w:p w14:paraId="31395C1A" w14:textId="302D3174"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66" w:history="1">
            <w:r w:rsidR="002179A8" w:rsidRPr="00333D21">
              <w:rPr>
                <w:rStyle w:val="Hipervnculo"/>
                <w:rFonts w:ascii="Times New Roman" w:hAnsi="Times New Roman" w:cs="Times New Roman"/>
                <w:b w:val="0"/>
                <w:noProof/>
                <w:sz w:val="24"/>
                <w:szCs w:val="24"/>
              </w:rPr>
              <w:t>4.8 Cuadro de Operacionalización</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_Toc63688966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42</w:t>
            </w:r>
            <w:r w:rsidR="002179A8" w:rsidRPr="00333D21">
              <w:rPr>
                <w:rFonts w:ascii="Times New Roman" w:hAnsi="Times New Roman" w:cs="Times New Roman"/>
                <w:b w:val="0"/>
                <w:noProof/>
                <w:webHidden/>
                <w:sz w:val="24"/>
                <w:szCs w:val="24"/>
              </w:rPr>
              <w:fldChar w:fldCharType="end"/>
            </w:r>
          </w:hyperlink>
        </w:p>
        <w:p w14:paraId="008F10D7" w14:textId="3039A6A2"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67" w:history="1">
            <w:r w:rsidR="002179A8" w:rsidRPr="00333D21">
              <w:rPr>
                <w:rStyle w:val="Hipervnculo"/>
                <w:rFonts w:ascii="Times New Roman" w:hAnsi="Times New Roman" w:cs="Times New Roman"/>
                <w:b w:val="0"/>
                <w:i w:val="0"/>
                <w:noProof/>
              </w:rPr>
              <w:t>Capítulo V</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_Toc63688967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44</w:t>
            </w:r>
            <w:r w:rsidR="002179A8" w:rsidRPr="00333D21">
              <w:rPr>
                <w:rFonts w:ascii="Times New Roman" w:hAnsi="Times New Roman" w:cs="Times New Roman"/>
                <w:b w:val="0"/>
                <w:i w:val="0"/>
                <w:noProof/>
                <w:webHidden/>
              </w:rPr>
              <w:fldChar w:fldCharType="end"/>
            </w:r>
          </w:hyperlink>
        </w:p>
        <w:p w14:paraId="0B85AED9" w14:textId="41BF47C4"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68" w:history="1">
            <w:r w:rsidR="002179A8" w:rsidRPr="00333D21">
              <w:rPr>
                <w:rStyle w:val="Hipervnculo"/>
                <w:rFonts w:ascii="Times New Roman" w:hAnsi="Times New Roman" w:cs="Times New Roman"/>
                <w:b w:val="0"/>
                <w:i w:val="0"/>
                <w:noProof/>
              </w:rPr>
              <w:t>Análisis de Resultados</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_Toc63688968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44</w:t>
            </w:r>
            <w:r w:rsidR="002179A8" w:rsidRPr="00333D21">
              <w:rPr>
                <w:rFonts w:ascii="Times New Roman" w:hAnsi="Times New Roman" w:cs="Times New Roman"/>
                <w:b w:val="0"/>
                <w:i w:val="0"/>
                <w:noProof/>
                <w:webHidden/>
              </w:rPr>
              <w:fldChar w:fldCharType="end"/>
            </w:r>
          </w:hyperlink>
        </w:p>
        <w:p w14:paraId="22916ACA" w14:textId="0C7DB6CB"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69" w:history="1">
            <w:r w:rsidR="002179A8" w:rsidRPr="00333D21">
              <w:rPr>
                <w:rStyle w:val="Hipervnculo"/>
                <w:rFonts w:ascii="Times New Roman" w:hAnsi="Times New Roman" w:cs="Times New Roman"/>
                <w:b w:val="0"/>
                <w:noProof/>
                <w:sz w:val="24"/>
                <w:szCs w:val="24"/>
              </w:rPr>
              <w:t>5.1 Enfoque de Género</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_Toc63688969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45</w:t>
            </w:r>
            <w:r w:rsidR="002179A8" w:rsidRPr="00333D21">
              <w:rPr>
                <w:rFonts w:ascii="Times New Roman" w:hAnsi="Times New Roman" w:cs="Times New Roman"/>
                <w:b w:val="0"/>
                <w:noProof/>
                <w:webHidden/>
                <w:sz w:val="24"/>
                <w:szCs w:val="24"/>
              </w:rPr>
              <w:fldChar w:fldCharType="end"/>
            </w:r>
          </w:hyperlink>
        </w:p>
        <w:p w14:paraId="3FBA8FF4" w14:textId="49B8F660"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70" w:history="1">
            <w:r w:rsidR="002179A8" w:rsidRPr="00333D21">
              <w:rPr>
                <w:rStyle w:val="Hipervnculo"/>
                <w:rFonts w:ascii="Times New Roman" w:hAnsi="Times New Roman" w:cs="Times New Roman"/>
                <w:b w:val="0"/>
                <w:noProof/>
                <w:sz w:val="24"/>
                <w:szCs w:val="24"/>
              </w:rPr>
              <w:t>5.2 Características de la V. I. que presentan las mujeres víctimas en el Juzgado Contra la Violencia Doméstica del II Circuito Judicial de San José</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_Toc63688970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46</w:t>
            </w:r>
            <w:r w:rsidR="002179A8" w:rsidRPr="00333D21">
              <w:rPr>
                <w:rFonts w:ascii="Times New Roman" w:hAnsi="Times New Roman" w:cs="Times New Roman"/>
                <w:b w:val="0"/>
                <w:noProof/>
                <w:webHidden/>
                <w:sz w:val="24"/>
                <w:szCs w:val="24"/>
              </w:rPr>
              <w:fldChar w:fldCharType="end"/>
            </w:r>
          </w:hyperlink>
        </w:p>
        <w:p w14:paraId="73314730" w14:textId="7BD44D3B"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71" w:history="1">
            <w:r w:rsidR="002179A8" w:rsidRPr="00333D21">
              <w:rPr>
                <w:rStyle w:val="Hipervnculo"/>
                <w:rFonts w:ascii="Times New Roman" w:hAnsi="Times New Roman" w:cs="Times New Roman"/>
                <w:b w:val="0"/>
                <w:noProof/>
                <w:sz w:val="24"/>
                <w:szCs w:val="24"/>
              </w:rPr>
              <w:t>5.3 Vulnerabilidad cognitiva en víctimas de violencia intrafamiliar en el Juzgado Contra la Violencia Doméstica del II Circuito Judicial de San José, en los expedientes Judiciales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_Toc63688971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53</w:t>
            </w:r>
            <w:r w:rsidR="002179A8" w:rsidRPr="00333D21">
              <w:rPr>
                <w:rFonts w:ascii="Times New Roman" w:hAnsi="Times New Roman" w:cs="Times New Roman"/>
                <w:b w:val="0"/>
                <w:noProof/>
                <w:webHidden/>
                <w:sz w:val="24"/>
                <w:szCs w:val="24"/>
              </w:rPr>
              <w:fldChar w:fldCharType="end"/>
            </w:r>
          </w:hyperlink>
        </w:p>
        <w:p w14:paraId="4484DFCB" w14:textId="1970D000"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72" w:history="1">
            <w:r w:rsidR="002179A8" w:rsidRPr="00333D21">
              <w:rPr>
                <w:rStyle w:val="Hipervnculo"/>
                <w:rFonts w:ascii="Times New Roman" w:hAnsi="Times New Roman" w:cs="Times New Roman"/>
                <w:noProof/>
                <w:sz w:val="24"/>
                <w:szCs w:val="24"/>
              </w:rPr>
              <w:t>5.3.1 Violencia física</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_Toc63688972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54</w:t>
            </w:r>
            <w:r w:rsidR="002179A8" w:rsidRPr="00333D21">
              <w:rPr>
                <w:rFonts w:ascii="Times New Roman" w:hAnsi="Times New Roman" w:cs="Times New Roman"/>
                <w:noProof/>
                <w:webHidden/>
                <w:sz w:val="24"/>
                <w:szCs w:val="24"/>
              </w:rPr>
              <w:fldChar w:fldCharType="end"/>
            </w:r>
          </w:hyperlink>
        </w:p>
        <w:p w14:paraId="388A4331" w14:textId="449C8F0D"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73" w:history="1">
            <w:r w:rsidR="002179A8" w:rsidRPr="00333D21">
              <w:rPr>
                <w:rStyle w:val="Hipervnculo"/>
                <w:rFonts w:ascii="Times New Roman" w:hAnsi="Times New Roman" w:cs="Times New Roman"/>
                <w:noProof/>
                <w:sz w:val="24"/>
                <w:szCs w:val="24"/>
              </w:rPr>
              <w:t>5.3.2 Violencia sexual</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_Toc63688973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55</w:t>
            </w:r>
            <w:r w:rsidR="002179A8" w:rsidRPr="00333D21">
              <w:rPr>
                <w:rFonts w:ascii="Times New Roman" w:hAnsi="Times New Roman" w:cs="Times New Roman"/>
                <w:noProof/>
                <w:webHidden/>
                <w:sz w:val="24"/>
                <w:szCs w:val="24"/>
              </w:rPr>
              <w:fldChar w:fldCharType="end"/>
            </w:r>
          </w:hyperlink>
        </w:p>
        <w:p w14:paraId="2B407D7A" w14:textId="49749006"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74" w:history="1">
            <w:r w:rsidR="002179A8" w:rsidRPr="00333D21">
              <w:rPr>
                <w:rStyle w:val="Hipervnculo"/>
                <w:rFonts w:ascii="Times New Roman" w:hAnsi="Times New Roman" w:cs="Times New Roman"/>
                <w:noProof/>
                <w:sz w:val="24"/>
                <w:szCs w:val="24"/>
              </w:rPr>
              <w:t>5.3.3 Violencia psicológica y emocional</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_Toc63688974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55</w:t>
            </w:r>
            <w:r w:rsidR="002179A8" w:rsidRPr="00333D21">
              <w:rPr>
                <w:rFonts w:ascii="Times New Roman" w:hAnsi="Times New Roman" w:cs="Times New Roman"/>
                <w:noProof/>
                <w:webHidden/>
                <w:sz w:val="24"/>
                <w:szCs w:val="24"/>
              </w:rPr>
              <w:fldChar w:fldCharType="end"/>
            </w:r>
          </w:hyperlink>
        </w:p>
        <w:p w14:paraId="641A8085" w14:textId="25D9F08C" w:rsidR="002179A8" w:rsidRPr="00333D21" w:rsidRDefault="00A54FE8">
          <w:pPr>
            <w:pStyle w:val="TDC3"/>
            <w:tabs>
              <w:tab w:val="right" w:leader="dot" w:pos="8714"/>
            </w:tabs>
            <w:rPr>
              <w:rFonts w:ascii="Times New Roman" w:eastAsiaTheme="minorEastAsia" w:hAnsi="Times New Roman" w:cs="Times New Roman"/>
              <w:noProof/>
              <w:kern w:val="0"/>
              <w:sz w:val="24"/>
              <w:szCs w:val="24"/>
              <w:lang w:eastAsia="es-CR"/>
            </w:rPr>
          </w:pPr>
          <w:hyperlink w:anchor="_Toc63688975" w:history="1">
            <w:r w:rsidR="002179A8" w:rsidRPr="00333D21">
              <w:rPr>
                <w:rStyle w:val="Hipervnculo"/>
                <w:rFonts w:ascii="Times New Roman" w:hAnsi="Times New Roman" w:cs="Times New Roman"/>
                <w:noProof/>
                <w:sz w:val="24"/>
                <w:szCs w:val="24"/>
              </w:rPr>
              <w:t>5.3.4 Violencia patrimonial</w:t>
            </w:r>
            <w:r w:rsidR="002179A8" w:rsidRPr="00333D21">
              <w:rPr>
                <w:rFonts w:ascii="Times New Roman" w:hAnsi="Times New Roman" w:cs="Times New Roman"/>
                <w:noProof/>
                <w:webHidden/>
                <w:sz w:val="24"/>
                <w:szCs w:val="24"/>
              </w:rPr>
              <w:tab/>
            </w:r>
            <w:r w:rsidR="002179A8" w:rsidRPr="00333D21">
              <w:rPr>
                <w:rFonts w:ascii="Times New Roman" w:hAnsi="Times New Roman" w:cs="Times New Roman"/>
                <w:noProof/>
                <w:webHidden/>
                <w:sz w:val="24"/>
                <w:szCs w:val="24"/>
              </w:rPr>
              <w:fldChar w:fldCharType="begin"/>
            </w:r>
            <w:r w:rsidR="002179A8" w:rsidRPr="00333D21">
              <w:rPr>
                <w:rFonts w:ascii="Times New Roman" w:hAnsi="Times New Roman" w:cs="Times New Roman"/>
                <w:noProof/>
                <w:webHidden/>
                <w:sz w:val="24"/>
                <w:szCs w:val="24"/>
              </w:rPr>
              <w:instrText xml:space="preserve"> PAGEREF _Toc63688975 \h </w:instrText>
            </w:r>
            <w:r w:rsidR="002179A8" w:rsidRPr="00333D21">
              <w:rPr>
                <w:rFonts w:ascii="Times New Roman" w:hAnsi="Times New Roman" w:cs="Times New Roman"/>
                <w:noProof/>
                <w:webHidden/>
                <w:sz w:val="24"/>
                <w:szCs w:val="24"/>
              </w:rPr>
            </w:r>
            <w:r w:rsidR="002179A8" w:rsidRPr="00333D21">
              <w:rPr>
                <w:rFonts w:ascii="Times New Roman" w:hAnsi="Times New Roman" w:cs="Times New Roman"/>
                <w:noProof/>
                <w:webHidden/>
                <w:sz w:val="24"/>
                <w:szCs w:val="24"/>
              </w:rPr>
              <w:fldChar w:fldCharType="separate"/>
            </w:r>
            <w:r w:rsidR="001768B3">
              <w:rPr>
                <w:rFonts w:ascii="Times New Roman" w:hAnsi="Times New Roman" w:cs="Times New Roman"/>
                <w:noProof/>
                <w:webHidden/>
                <w:sz w:val="24"/>
                <w:szCs w:val="24"/>
              </w:rPr>
              <w:t>55</w:t>
            </w:r>
            <w:r w:rsidR="002179A8" w:rsidRPr="00333D21">
              <w:rPr>
                <w:rFonts w:ascii="Times New Roman" w:hAnsi="Times New Roman" w:cs="Times New Roman"/>
                <w:noProof/>
                <w:webHidden/>
                <w:sz w:val="24"/>
                <w:szCs w:val="24"/>
              </w:rPr>
              <w:fldChar w:fldCharType="end"/>
            </w:r>
          </w:hyperlink>
        </w:p>
        <w:p w14:paraId="67C147EE" w14:textId="29BB7E43"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76" w:history="1">
            <w:r w:rsidR="002179A8" w:rsidRPr="00333D21">
              <w:rPr>
                <w:rStyle w:val="Hipervnculo"/>
                <w:rFonts w:ascii="Times New Roman" w:hAnsi="Times New Roman" w:cs="Times New Roman"/>
                <w:b w:val="0"/>
                <w:noProof/>
                <w:sz w:val="24"/>
                <w:szCs w:val="24"/>
              </w:rPr>
              <w:t>5.4 Abordaje de la vulnerabilidad cognitiva en mujeres víctimas de violencia intrafamiliar en el Juzgado de Violencia Doméstica del II Circuito Judicial de San José, en el Período 2018-2019</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_Toc63688976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57</w:t>
            </w:r>
            <w:r w:rsidR="002179A8" w:rsidRPr="00333D21">
              <w:rPr>
                <w:rFonts w:ascii="Times New Roman" w:hAnsi="Times New Roman" w:cs="Times New Roman"/>
                <w:b w:val="0"/>
                <w:noProof/>
                <w:webHidden/>
                <w:sz w:val="24"/>
                <w:szCs w:val="24"/>
              </w:rPr>
              <w:fldChar w:fldCharType="end"/>
            </w:r>
          </w:hyperlink>
        </w:p>
        <w:p w14:paraId="7CF15896" w14:textId="0836B262"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77" w:history="1">
            <w:r w:rsidR="002179A8" w:rsidRPr="00333D21">
              <w:rPr>
                <w:rStyle w:val="Hipervnculo"/>
                <w:rFonts w:ascii="Times New Roman" w:hAnsi="Times New Roman" w:cs="Times New Roman"/>
                <w:b w:val="0"/>
                <w:noProof/>
                <w:sz w:val="24"/>
                <w:szCs w:val="24"/>
              </w:rPr>
              <w:t>5.5 Síntesis general de los resultados obtenidos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_Toc63688977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69</w:t>
            </w:r>
            <w:r w:rsidR="002179A8" w:rsidRPr="00333D21">
              <w:rPr>
                <w:rFonts w:ascii="Times New Roman" w:hAnsi="Times New Roman" w:cs="Times New Roman"/>
                <w:b w:val="0"/>
                <w:noProof/>
                <w:webHidden/>
                <w:sz w:val="24"/>
                <w:szCs w:val="24"/>
              </w:rPr>
              <w:fldChar w:fldCharType="end"/>
            </w:r>
          </w:hyperlink>
        </w:p>
        <w:p w14:paraId="51E07E9B" w14:textId="24A685BF"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78" w:history="1">
            <w:r w:rsidR="002179A8" w:rsidRPr="00333D21">
              <w:rPr>
                <w:rStyle w:val="Hipervnculo"/>
                <w:rFonts w:ascii="Times New Roman" w:hAnsi="Times New Roman" w:cs="Times New Roman"/>
                <w:b w:val="0"/>
                <w:i w:val="0"/>
                <w:noProof/>
              </w:rPr>
              <w:t>Capítulo VI</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_Toc63688978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73</w:t>
            </w:r>
            <w:r w:rsidR="002179A8" w:rsidRPr="00333D21">
              <w:rPr>
                <w:rFonts w:ascii="Times New Roman" w:hAnsi="Times New Roman" w:cs="Times New Roman"/>
                <w:b w:val="0"/>
                <w:i w:val="0"/>
                <w:noProof/>
                <w:webHidden/>
              </w:rPr>
              <w:fldChar w:fldCharType="end"/>
            </w:r>
          </w:hyperlink>
        </w:p>
        <w:p w14:paraId="2C65F3ED" w14:textId="0DC7C166"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79" w:history="1">
            <w:r w:rsidR="002179A8" w:rsidRPr="00333D21">
              <w:rPr>
                <w:rStyle w:val="Hipervnculo"/>
                <w:rFonts w:ascii="Times New Roman" w:hAnsi="Times New Roman" w:cs="Times New Roman"/>
                <w:b w:val="0"/>
                <w:i w:val="0"/>
                <w:noProof/>
              </w:rPr>
              <w:t>Conclusiones y Recomendaciones</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_Toc63688979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73</w:t>
            </w:r>
            <w:r w:rsidR="002179A8" w:rsidRPr="00333D21">
              <w:rPr>
                <w:rFonts w:ascii="Times New Roman" w:hAnsi="Times New Roman" w:cs="Times New Roman"/>
                <w:b w:val="0"/>
                <w:i w:val="0"/>
                <w:noProof/>
                <w:webHidden/>
              </w:rPr>
              <w:fldChar w:fldCharType="end"/>
            </w:r>
          </w:hyperlink>
        </w:p>
        <w:p w14:paraId="5E4B88FD" w14:textId="68268FA2"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80" w:history="1">
            <w:r w:rsidR="002179A8" w:rsidRPr="00333D21">
              <w:rPr>
                <w:rStyle w:val="Hipervnculo"/>
                <w:rFonts w:ascii="Times New Roman" w:hAnsi="Times New Roman" w:cs="Times New Roman"/>
                <w:b w:val="0"/>
                <w:noProof/>
                <w:sz w:val="24"/>
                <w:szCs w:val="24"/>
              </w:rPr>
              <w:t>6.1 Conclusiones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_Toc63688980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73</w:t>
            </w:r>
            <w:r w:rsidR="002179A8" w:rsidRPr="00333D21">
              <w:rPr>
                <w:rFonts w:ascii="Times New Roman" w:hAnsi="Times New Roman" w:cs="Times New Roman"/>
                <w:b w:val="0"/>
                <w:noProof/>
                <w:webHidden/>
                <w:sz w:val="24"/>
                <w:szCs w:val="24"/>
              </w:rPr>
              <w:fldChar w:fldCharType="end"/>
            </w:r>
          </w:hyperlink>
        </w:p>
        <w:p w14:paraId="12D32D1A" w14:textId="6D2E3194"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81" w:history="1">
            <w:r w:rsidR="002179A8" w:rsidRPr="00333D21">
              <w:rPr>
                <w:rStyle w:val="Hipervnculo"/>
                <w:rFonts w:ascii="Times New Roman" w:hAnsi="Times New Roman" w:cs="Times New Roman"/>
                <w:b w:val="0"/>
                <w:noProof/>
                <w:sz w:val="24"/>
                <w:szCs w:val="24"/>
              </w:rPr>
              <w:t>6.2 Recomendaciones</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_Toc63688981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74</w:t>
            </w:r>
            <w:r w:rsidR="002179A8" w:rsidRPr="00333D21">
              <w:rPr>
                <w:rFonts w:ascii="Times New Roman" w:hAnsi="Times New Roman" w:cs="Times New Roman"/>
                <w:b w:val="0"/>
                <w:noProof/>
                <w:webHidden/>
                <w:sz w:val="24"/>
                <w:szCs w:val="24"/>
              </w:rPr>
              <w:fldChar w:fldCharType="end"/>
            </w:r>
          </w:hyperlink>
        </w:p>
        <w:p w14:paraId="4A75F418" w14:textId="0DF9DD3B"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82" w:history="1">
            <w:r w:rsidR="002179A8" w:rsidRPr="00333D21">
              <w:rPr>
                <w:rStyle w:val="Hipervnculo"/>
                <w:rFonts w:ascii="Times New Roman" w:hAnsi="Times New Roman" w:cs="Times New Roman"/>
                <w:b w:val="0"/>
                <w:noProof/>
                <w:sz w:val="24"/>
                <w:szCs w:val="24"/>
              </w:rPr>
              <w:t>6.2.1 Para el Poder Judicial</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_Toc63688982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74</w:t>
            </w:r>
            <w:r w:rsidR="002179A8" w:rsidRPr="00333D21">
              <w:rPr>
                <w:rFonts w:ascii="Times New Roman" w:hAnsi="Times New Roman" w:cs="Times New Roman"/>
                <w:b w:val="0"/>
                <w:noProof/>
                <w:webHidden/>
                <w:sz w:val="24"/>
                <w:szCs w:val="24"/>
              </w:rPr>
              <w:fldChar w:fldCharType="end"/>
            </w:r>
          </w:hyperlink>
        </w:p>
        <w:p w14:paraId="2A2218A8" w14:textId="7B34E806"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83" w:history="1">
            <w:r w:rsidR="002179A8" w:rsidRPr="00333D21">
              <w:rPr>
                <w:rStyle w:val="Hipervnculo"/>
                <w:rFonts w:ascii="Times New Roman" w:hAnsi="Times New Roman" w:cs="Times New Roman"/>
                <w:b w:val="0"/>
                <w:noProof/>
                <w:sz w:val="24"/>
                <w:szCs w:val="24"/>
              </w:rPr>
              <w:t>6.2.2 Para la Universidad Nacional</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_Toc63688983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76</w:t>
            </w:r>
            <w:r w:rsidR="002179A8" w:rsidRPr="00333D21">
              <w:rPr>
                <w:rFonts w:ascii="Times New Roman" w:hAnsi="Times New Roman" w:cs="Times New Roman"/>
                <w:b w:val="0"/>
                <w:noProof/>
                <w:webHidden/>
                <w:sz w:val="24"/>
                <w:szCs w:val="24"/>
              </w:rPr>
              <w:fldChar w:fldCharType="end"/>
            </w:r>
          </w:hyperlink>
        </w:p>
        <w:p w14:paraId="7918B9FF" w14:textId="64F881EF"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84" w:history="1">
            <w:r w:rsidR="002179A8" w:rsidRPr="00333D21">
              <w:rPr>
                <w:rStyle w:val="Hipervnculo"/>
                <w:rFonts w:ascii="Times New Roman" w:hAnsi="Times New Roman" w:cs="Times New Roman"/>
                <w:b w:val="0"/>
                <w:i w:val="0"/>
                <w:noProof/>
              </w:rPr>
              <w:t>Referencias</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_Toc63688984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77</w:t>
            </w:r>
            <w:r w:rsidR="002179A8" w:rsidRPr="00333D21">
              <w:rPr>
                <w:rFonts w:ascii="Times New Roman" w:hAnsi="Times New Roman" w:cs="Times New Roman"/>
                <w:b w:val="0"/>
                <w:i w:val="0"/>
                <w:noProof/>
                <w:webHidden/>
              </w:rPr>
              <w:fldChar w:fldCharType="end"/>
            </w:r>
          </w:hyperlink>
        </w:p>
        <w:p w14:paraId="44A46B17" w14:textId="33EE64F9" w:rsidR="002179A8" w:rsidRPr="00333D21" w:rsidRDefault="00A54FE8">
          <w:pPr>
            <w:pStyle w:val="TDC1"/>
            <w:tabs>
              <w:tab w:val="right" w:leader="dot" w:pos="8714"/>
            </w:tabs>
            <w:rPr>
              <w:rFonts w:ascii="Times New Roman" w:eastAsiaTheme="minorEastAsia" w:hAnsi="Times New Roman" w:cs="Times New Roman"/>
              <w:b w:val="0"/>
              <w:bCs w:val="0"/>
              <w:i w:val="0"/>
              <w:iCs w:val="0"/>
              <w:noProof/>
              <w:kern w:val="0"/>
              <w:lang w:eastAsia="es-CR"/>
            </w:rPr>
          </w:pPr>
          <w:hyperlink w:anchor="_Toc63688985" w:history="1">
            <w:r w:rsidR="002179A8" w:rsidRPr="00333D21">
              <w:rPr>
                <w:rStyle w:val="Hipervnculo"/>
                <w:rFonts w:ascii="Times New Roman" w:hAnsi="Times New Roman" w:cs="Times New Roman"/>
                <w:b w:val="0"/>
                <w:i w:val="0"/>
                <w:noProof/>
              </w:rPr>
              <w:t>ANEXOS</w:t>
            </w:r>
            <w:r w:rsidR="002179A8" w:rsidRPr="00333D21">
              <w:rPr>
                <w:rFonts w:ascii="Times New Roman" w:hAnsi="Times New Roman" w:cs="Times New Roman"/>
                <w:b w:val="0"/>
                <w:i w:val="0"/>
                <w:noProof/>
                <w:webHidden/>
              </w:rPr>
              <w:tab/>
            </w:r>
            <w:r w:rsidR="002179A8" w:rsidRPr="00333D21">
              <w:rPr>
                <w:rFonts w:ascii="Times New Roman" w:hAnsi="Times New Roman" w:cs="Times New Roman"/>
                <w:b w:val="0"/>
                <w:i w:val="0"/>
                <w:noProof/>
                <w:webHidden/>
              </w:rPr>
              <w:fldChar w:fldCharType="begin"/>
            </w:r>
            <w:r w:rsidR="002179A8" w:rsidRPr="00333D21">
              <w:rPr>
                <w:rFonts w:ascii="Times New Roman" w:hAnsi="Times New Roman" w:cs="Times New Roman"/>
                <w:b w:val="0"/>
                <w:i w:val="0"/>
                <w:noProof/>
                <w:webHidden/>
              </w:rPr>
              <w:instrText xml:space="preserve"> PAGEREF _Toc63688985 \h </w:instrText>
            </w:r>
            <w:r w:rsidR="002179A8" w:rsidRPr="00333D21">
              <w:rPr>
                <w:rFonts w:ascii="Times New Roman" w:hAnsi="Times New Roman" w:cs="Times New Roman"/>
                <w:b w:val="0"/>
                <w:i w:val="0"/>
                <w:noProof/>
                <w:webHidden/>
              </w:rPr>
            </w:r>
            <w:r w:rsidR="002179A8" w:rsidRPr="00333D21">
              <w:rPr>
                <w:rFonts w:ascii="Times New Roman" w:hAnsi="Times New Roman" w:cs="Times New Roman"/>
                <w:b w:val="0"/>
                <w:i w:val="0"/>
                <w:noProof/>
                <w:webHidden/>
              </w:rPr>
              <w:fldChar w:fldCharType="separate"/>
            </w:r>
            <w:r w:rsidR="001768B3">
              <w:rPr>
                <w:rFonts w:ascii="Times New Roman" w:hAnsi="Times New Roman" w:cs="Times New Roman"/>
                <w:b w:val="0"/>
                <w:i w:val="0"/>
                <w:noProof/>
                <w:webHidden/>
              </w:rPr>
              <w:t>83</w:t>
            </w:r>
            <w:r w:rsidR="002179A8" w:rsidRPr="00333D21">
              <w:rPr>
                <w:rFonts w:ascii="Times New Roman" w:hAnsi="Times New Roman" w:cs="Times New Roman"/>
                <w:b w:val="0"/>
                <w:i w:val="0"/>
                <w:noProof/>
                <w:webHidden/>
              </w:rPr>
              <w:fldChar w:fldCharType="end"/>
            </w:r>
          </w:hyperlink>
        </w:p>
        <w:p w14:paraId="72AD2A25" w14:textId="4D99FD4B"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86" w:history="1">
            <w:r w:rsidR="002179A8" w:rsidRPr="00333D21">
              <w:rPr>
                <w:rStyle w:val="Hipervnculo"/>
                <w:rFonts w:ascii="Times New Roman" w:hAnsi="Times New Roman" w:cs="Times New Roman"/>
                <w:b w:val="0"/>
                <w:noProof/>
                <w:sz w:val="24"/>
                <w:szCs w:val="24"/>
              </w:rPr>
              <w:t>Anexo 1. Matriz de revisión de expedientes del Poder Judicial</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_Toc63688986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83</w:t>
            </w:r>
            <w:r w:rsidR="002179A8" w:rsidRPr="00333D21">
              <w:rPr>
                <w:rFonts w:ascii="Times New Roman" w:hAnsi="Times New Roman" w:cs="Times New Roman"/>
                <w:b w:val="0"/>
                <w:noProof/>
                <w:webHidden/>
                <w:sz w:val="24"/>
                <w:szCs w:val="24"/>
              </w:rPr>
              <w:fldChar w:fldCharType="end"/>
            </w:r>
          </w:hyperlink>
        </w:p>
        <w:p w14:paraId="7836B0A5" w14:textId="684CADC1"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87" w:history="1">
            <w:r w:rsidR="002179A8" w:rsidRPr="00333D21">
              <w:rPr>
                <w:rStyle w:val="Hipervnculo"/>
                <w:rFonts w:ascii="Times New Roman" w:hAnsi="Times New Roman" w:cs="Times New Roman"/>
                <w:b w:val="0"/>
                <w:noProof/>
                <w:sz w:val="24"/>
                <w:szCs w:val="24"/>
              </w:rPr>
              <w:t>Anexo 2. Entrevista semi estructurada</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_Toc63688987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86</w:t>
            </w:r>
            <w:r w:rsidR="002179A8" w:rsidRPr="00333D21">
              <w:rPr>
                <w:rFonts w:ascii="Times New Roman" w:hAnsi="Times New Roman" w:cs="Times New Roman"/>
                <w:b w:val="0"/>
                <w:noProof/>
                <w:webHidden/>
                <w:sz w:val="24"/>
                <w:szCs w:val="24"/>
              </w:rPr>
              <w:fldChar w:fldCharType="end"/>
            </w:r>
          </w:hyperlink>
        </w:p>
        <w:p w14:paraId="652396A9" w14:textId="43FDF4F8"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88" w:history="1">
            <w:r w:rsidR="002179A8" w:rsidRPr="00333D21">
              <w:rPr>
                <w:rStyle w:val="Hipervnculo"/>
                <w:rFonts w:ascii="Times New Roman" w:hAnsi="Times New Roman" w:cs="Times New Roman"/>
                <w:b w:val="0"/>
                <w:noProof/>
                <w:sz w:val="24"/>
                <w:szCs w:val="24"/>
              </w:rPr>
              <w:t>Anexo 3. Matriz de análisis bibliográfico</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_Toc63688988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89</w:t>
            </w:r>
            <w:r w:rsidR="002179A8" w:rsidRPr="00333D21">
              <w:rPr>
                <w:rFonts w:ascii="Times New Roman" w:hAnsi="Times New Roman" w:cs="Times New Roman"/>
                <w:b w:val="0"/>
                <w:noProof/>
                <w:webHidden/>
                <w:sz w:val="24"/>
                <w:szCs w:val="24"/>
              </w:rPr>
              <w:fldChar w:fldCharType="end"/>
            </w:r>
          </w:hyperlink>
        </w:p>
        <w:p w14:paraId="2157C0D1" w14:textId="564D56DD" w:rsidR="002179A8" w:rsidRPr="00333D21" w:rsidRDefault="00A54FE8">
          <w:pPr>
            <w:pStyle w:val="TDC2"/>
            <w:tabs>
              <w:tab w:val="right" w:leader="dot" w:pos="8714"/>
            </w:tabs>
            <w:rPr>
              <w:rFonts w:ascii="Times New Roman" w:eastAsiaTheme="minorEastAsia" w:hAnsi="Times New Roman" w:cs="Times New Roman"/>
              <w:b w:val="0"/>
              <w:bCs w:val="0"/>
              <w:noProof/>
              <w:kern w:val="0"/>
              <w:sz w:val="24"/>
              <w:szCs w:val="24"/>
              <w:lang w:eastAsia="es-CR"/>
            </w:rPr>
          </w:pPr>
          <w:hyperlink w:anchor="_Toc63688989" w:history="1">
            <w:r w:rsidR="002179A8" w:rsidRPr="00333D21">
              <w:rPr>
                <w:rStyle w:val="Hipervnculo"/>
                <w:rFonts w:ascii="Times New Roman" w:hAnsi="Times New Roman" w:cs="Times New Roman"/>
                <w:b w:val="0"/>
                <w:noProof/>
                <w:sz w:val="24"/>
                <w:szCs w:val="24"/>
              </w:rPr>
              <w:t>Anexo 4. Carta de autorización</w:t>
            </w:r>
            <w:r w:rsidR="002179A8" w:rsidRPr="00333D21">
              <w:rPr>
                <w:rFonts w:ascii="Times New Roman" w:hAnsi="Times New Roman" w:cs="Times New Roman"/>
                <w:b w:val="0"/>
                <w:noProof/>
                <w:webHidden/>
                <w:sz w:val="24"/>
                <w:szCs w:val="24"/>
              </w:rPr>
              <w:tab/>
            </w:r>
            <w:r w:rsidR="002179A8" w:rsidRPr="00333D21">
              <w:rPr>
                <w:rFonts w:ascii="Times New Roman" w:hAnsi="Times New Roman" w:cs="Times New Roman"/>
                <w:b w:val="0"/>
                <w:noProof/>
                <w:webHidden/>
                <w:sz w:val="24"/>
                <w:szCs w:val="24"/>
              </w:rPr>
              <w:fldChar w:fldCharType="begin"/>
            </w:r>
            <w:r w:rsidR="002179A8" w:rsidRPr="00333D21">
              <w:rPr>
                <w:rFonts w:ascii="Times New Roman" w:hAnsi="Times New Roman" w:cs="Times New Roman"/>
                <w:b w:val="0"/>
                <w:noProof/>
                <w:webHidden/>
                <w:sz w:val="24"/>
                <w:szCs w:val="24"/>
              </w:rPr>
              <w:instrText xml:space="preserve"> PAGEREF _Toc63688989 \h </w:instrText>
            </w:r>
            <w:r w:rsidR="002179A8" w:rsidRPr="00333D21">
              <w:rPr>
                <w:rFonts w:ascii="Times New Roman" w:hAnsi="Times New Roman" w:cs="Times New Roman"/>
                <w:b w:val="0"/>
                <w:noProof/>
                <w:webHidden/>
                <w:sz w:val="24"/>
                <w:szCs w:val="24"/>
              </w:rPr>
            </w:r>
            <w:r w:rsidR="002179A8" w:rsidRPr="00333D21">
              <w:rPr>
                <w:rFonts w:ascii="Times New Roman" w:hAnsi="Times New Roman" w:cs="Times New Roman"/>
                <w:b w:val="0"/>
                <w:noProof/>
                <w:webHidden/>
                <w:sz w:val="24"/>
                <w:szCs w:val="24"/>
              </w:rPr>
              <w:fldChar w:fldCharType="separate"/>
            </w:r>
            <w:r w:rsidR="001768B3">
              <w:rPr>
                <w:rFonts w:ascii="Times New Roman" w:hAnsi="Times New Roman" w:cs="Times New Roman"/>
                <w:b w:val="0"/>
                <w:noProof/>
                <w:webHidden/>
                <w:sz w:val="24"/>
                <w:szCs w:val="24"/>
              </w:rPr>
              <w:t>90</w:t>
            </w:r>
            <w:r w:rsidR="002179A8" w:rsidRPr="00333D21">
              <w:rPr>
                <w:rFonts w:ascii="Times New Roman" w:hAnsi="Times New Roman" w:cs="Times New Roman"/>
                <w:b w:val="0"/>
                <w:noProof/>
                <w:webHidden/>
                <w:sz w:val="24"/>
                <w:szCs w:val="24"/>
              </w:rPr>
              <w:fldChar w:fldCharType="end"/>
            </w:r>
          </w:hyperlink>
        </w:p>
        <w:p w14:paraId="1E95FBB8" w14:textId="6DD128CE" w:rsidR="009D3BDC" w:rsidRDefault="009D3BDC" w:rsidP="008420FC">
          <w:r w:rsidRPr="00333D21">
            <w:rPr>
              <w:rFonts w:cs="Times New Roman"/>
              <w:bCs/>
              <w:noProof/>
              <w:szCs w:val="24"/>
            </w:rPr>
            <w:fldChar w:fldCharType="end"/>
          </w:r>
        </w:p>
      </w:sdtContent>
    </w:sdt>
    <w:p w14:paraId="47AA76D7" w14:textId="23535A96" w:rsidR="00591F4A" w:rsidRDefault="00591F4A" w:rsidP="009D3BDC">
      <w:pPr>
        <w:ind w:firstLine="0"/>
      </w:pPr>
    </w:p>
    <w:p w14:paraId="47EA2512" w14:textId="4A745C60" w:rsidR="00591F4A" w:rsidRDefault="002358F9" w:rsidP="00591F4A">
      <w:pPr>
        <w:pStyle w:val="TDC1"/>
        <w:ind w:firstLine="0"/>
        <w:rPr>
          <w:rFonts w:eastAsiaTheme="minorEastAsia" w:cstheme="minorBidi"/>
          <w:noProof/>
          <w:kern w:val="0"/>
          <w:lang w:eastAsia="es-ES_tradnl"/>
        </w:rPr>
      </w:pPr>
      <w:r>
        <w:rPr>
          <w:lang w:eastAsia="es-CR"/>
        </w:rPr>
        <w:fldChar w:fldCharType="begin"/>
      </w:r>
      <w:r>
        <w:rPr>
          <w:lang w:eastAsia="es-CR"/>
        </w:rPr>
        <w:instrText xml:space="preserve"> TOC \o "2-4" \h \z \t "Título 1;1" </w:instrText>
      </w:r>
      <w:r>
        <w:rPr>
          <w:lang w:eastAsia="es-CR"/>
        </w:rPr>
        <w:fldChar w:fldCharType="separate"/>
      </w:r>
    </w:p>
    <w:p w14:paraId="1F08DF5E" w14:textId="5A86E2C5" w:rsidR="00E10342" w:rsidRDefault="002358F9">
      <w:pPr>
        <w:pStyle w:val="Standard"/>
        <w:rPr>
          <w:vanish/>
          <w:lang w:eastAsia="es-CR"/>
        </w:rPr>
      </w:pPr>
      <w:r>
        <w:rPr>
          <w:vanish/>
          <w:lang w:eastAsia="es-CR"/>
        </w:rPr>
        <w:fldChar w:fldCharType="end"/>
      </w:r>
    </w:p>
    <w:p w14:paraId="3CE2FB61" w14:textId="77777777" w:rsidR="002358F9" w:rsidRDefault="002358F9">
      <w:pPr>
        <w:pStyle w:val="Standard"/>
        <w:rPr>
          <w:vanish/>
          <w:lang w:eastAsia="es-CR"/>
        </w:rPr>
      </w:pPr>
    </w:p>
    <w:p w14:paraId="11900E61" w14:textId="4CA77F41" w:rsidR="00817390" w:rsidRDefault="00F7293C" w:rsidP="00F7293C">
      <w:pPr>
        <w:pStyle w:val="Standard"/>
        <w:tabs>
          <w:tab w:val="center" w:pos="4419"/>
        </w:tabs>
        <w:spacing w:after="0" w:line="360" w:lineRule="auto"/>
        <w:jc w:val="center"/>
        <w:rPr>
          <w:rFonts w:ascii="Times New Roman" w:eastAsia="Times New Roman" w:hAnsi="Times New Roman" w:cs="Times New Roman"/>
          <w:b/>
          <w:sz w:val="24"/>
          <w:lang w:val="es-SV"/>
        </w:rPr>
      </w:pPr>
      <w:r>
        <w:rPr>
          <w:rFonts w:ascii="Times New Roman" w:eastAsia="Times New Roman" w:hAnsi="Times New Roman" w:cs="Times New Roman"/>
          <w:b/>
          <w:sz w:val="24"/>
          <w:lang w:val="es-SV"/>
        </w:rPr>
        <w:t>ÍNDICE DE GRÁFICOS</w:t>
      </w:r>
    </w:p>
    <w:p w14:paraId="37EECA30" w14:textId="1AD6F577" w:rsidR="00F7293C" w:rsidRPr="00CE1426" w:rsidRDefault="00F7293C" w:rsidP="00F7293C">
      <w:pPr>
        <w:pStyle w:val="Tabladeilustraciones"/>
        <w:tabs>
          <w:tab w:val="right" w:leader="dot" w:pos="8714"/>
        </w:tabs>
        <w:ind w:firstLine="0"/>
        <w:rPr>
          <w:bCs/>
          <w:noProof/>
        </w:rPr>
      </w:pPr>
      <w:r w:rsidRPr="00F7293C">
        <w:rPr>
          <w:rFonts w:eastAsia="Times New Roman" w:cs="Times New Roman"/>
          <w:b/>
          <w:lang w:val="es-SV"/>
        </w:rPr>
        <w:lastRenderedPageBreak/>
        <w:fldChar w:fldCharType="begin"/>
      </w:r>
      <w:r w:rsidRPr="00F7293C">
        <w:rPr>
          <w:rFonts w:eastAsia="Times New Roman" w:cs="Times New Roman"/>
          <w:b/>
          <w:lang w:val="es-SV"/>
        </w:rPr>
        <w:instrText xml:space="preserve"> TOC \h \z \c "Gráfico" </w:instrText>
      </w:r>
      <w:r w:rsidRPr="00F7293C">
        <w:rPr>
          <w:rFonts w:eastAsia="Times New Roman" w:cs="Times New Roman"/>
          <w:b/>
          <w:lang w:val="es-SV"/>
        </w:rPr>
        <w:fldChar w:fldCharType="separate"/>
      </w:r>
      <w:hyperlink w:anchor="_Toc62481521" w:history="1">
        <w:r w:rsidRPr="00CE1426">
          <w:rPr>
            <w:rStyle w:val="Hipervnculo"/>
            <w:rFonts w:cs="Times New Roman"/>
            <w:bCs/>
            <w:noProof/>
          </w:rPr>
          <w:t>Gráfico 1. Cantidad de medidas de protección emitidas según sexo de la víctima de violencia doméstica por provincia</w:t>
        </w:r>
        <w:r w:rsidRPr="00CE1426">
          <w:rPr>
            <w:bCs/>
            <w:noProof/>
            <w:webHidden/>
          </w:rPr>
          <w:tab/>
        </w:r>
        <w:r w:rsidRPr="00CE1426">
          <w:rPr>
            <w:bCs/>
            <w:noProof/>
            <w:webHidden/>
          </w:rPr>
          <w:fldChar w:fldCharType="begin"/>
        </w:r>
        <w:r w:rsidRPr="00CE1426">
          <w:rPr>
            <w:bCs/>
            <w:noProof/>
            <w:webHidden/>
          </w:rPr>
          <w:instrText xml:space="preserve"> PAGEREF _Toc62481521 \h </w:instrText>
        </w:r>
        <w:r w:rsidRPr="00CE1426">
          <w:rPr>
            <w:bCs/>
            <w:noProof/>
            <w:webHidden/>
          </w:rPr>
        </w:r>
        <w:r w:rsidRPr="00CE1426">
          <w:rPr>
            <w:bCs/>
            <w:noProof/>
            <w:webHidden/>
          </w:rPr>
          <w:fldChar w:fldCharType="separate"/>
        </w:r>
        <w:r w:rsidR="00BD36F2">
          <w:rPr>
            <w:bCs/>
            <w:noProof/>
            <w:webHidden/>
          </w:rPr>
          <w:t>15</w:t>
        </w:r>
        <w:r w:rsidRPr="00CE1426">
          <w:rPr>
            <w:bCs/>
            <w:noProof/>
            <w:webHidden/>
          </w:rPr>
          <w:fldChar w:fldCharType="end"/>
        </w:r>
      </w:hyperlink>
    </w:p>
    <w:p w14:paraId="5ECF6BC7" w14:textId="43938E34" w:rsidR="00F7293C" w:rsidRPr="00CE1426" w:rsidRDefault="00A54FE8" w:rsidP="00F7293C">
      <w:pPr>
        <w:pStyle w:val="Tabladeilustraciones"/>
        <w:tabs>
          <w:tab w:val="right" w:leader="dot" w:pos="8714"/>
        </w:tabs>
        <w:ind w:firstLine="0"/>
        <w:rPr>
          <w:bCs/>
          <w:noProof/>
        </w:rPr>
      </w:pPr>
      <w:hyperlink w:anchor="_Toc62481522" w:history="1">
        <w:r w:rsidR="00F7293C" w:rsidRPr="00CE1426">
          <w:rPr>
            <w:rStyle w:val="Hipervnculo"/>
            <w:rFonts w:cs="Times New Roman"/>
            <w:bCs/>
            <w:noProof/>
          </w:rPr>
          <w:t>Gráfico 2. Cantidad de personas presuntas víctimas por sexo según rango de edad en materia de violencia doméstica</w:t>
        </w:r>
        <w:r w:rsidR="00F7293C" w:rsidRPr="00CE1426">
          <w:rPr>
            <w:bCs/>
            <w:noProof/>
            <w:webHidden/>
          </w:rPr>
          <w:tab/>
        </w:r>
        <w:r w:rsidR="00F7293C" w:rsidRPr="00CE1426">
          <w:rPr>
            <w:bCs/>
            <w:noProof/>
            <w:webHidden/>
          </w:rPr>
          <w:fldChar w:fldCharType="begin"/>
        </w:r>
        <w:r w:rsidR="00F7293C" w:rsidRPr="00CE1426">
          <w:rPr>
            <w:bCs/>
            <w:noProof/>
            <w:webHidden/>
          </w:rPr>
          <w:instrText xml:space="preserve"> PAGEREF _Toc62481522 \h </w:instrText>
        </w:r>
        <w:r w:rsidR="00F7293C" w:rsidRPr="00CE1426">
          <w:rPr>
            <w:bCs/>
            <w:noProof/>
            <w:webHidden/>
          </w:rPr>
        </w:r>
        <w:r w:rsidR="00F7293C" w:rsidRPr="00CE1426">
          <w:rPr>
            <w:bCs/>
            <w:noProof/>
            <w:webHidden/>
          </w:rPr>
          <w:fldChar w:fldCharType="separate"/>
        </w:r>
        <w:r w:rsidR="00BD36F2">
          <w:rPr>
            <w:bCs/>
            <w:noProof/>
            <w:webHidden/>
          </w:rPr>
          <w:t>16</w:t>
        </w:r>
        <w:r w:rsidR="00F7293C" w:rsidRPr="00CE1426">
          <w:rPr>
            <w:bCs/>
            <w:noProof/>
            <w:webHidden/>
          </w:rPr>
          <w:fldChar w:fldCharType="end"/>
        </w:r>
      </w:hyperlink>
    </w:p>
    <w:p w14:paraId="5666910D" w14:textId="0EC32EAB" w:rsidR="00F7293C" w:rsidRPr="00CE1426" w:rsidRDefault="00A54FE8" w:rsidP="00F7293C">
      <w:pPr>
        <w:pStyle w:val="Tabladeilustraciones"/>
        <w:tabs>
          <w:tab w:val="right" w:leader="dot" w:pos="8714"/>
        </w:tabs>
        <w:ind w:firstLine="0"/>
        <w:rPr>
          <w:bCs/>
          <w:noProof/>
        </w:rPr>
      </w:pPr>
      <w:hyperlink w:anchor="_Toc62481523" w:history="1">
        <w:r w:rsidR="00F7293C" w:rsidRPr="00CE1426">
          <w:rPr>
            <w:rStyle w:val="Hipervnculo"/>
            <w:rFonts w:cs="Times New Roman"/>
            <w:bCs/>
            <w:noProof/>
          </w:rPr>
          <w:t>Gráfico 3. Edades Promedio de los Presuntos Agresores</w:t>
        </w:r>
        <w:r w:rsidR="00F7293C" w:rsidRPr="00CE1426">
          <w:rPr>
            <w:bCs/>
            <w:noProof/>
            <w:webHidden/>
          </w:rPr>
          <w:tab/>
        </w:r>
        <w:r w:rsidR="00F7293C" w:rsidRPr="00CE1426">
          <w:rPr>
            <w:bCs/>
            <w:noProof/>
            <w:webHidden/>
          </w:rPr>
          <w:fldChar w:fldCharType="begin"/>
        </w:r>
        <w:r w:rsidR="00F7293C" w:rsidRPr="00CE1426">
          <w:rPr>
            <w:bCs/>
            <w:noProof/>
            <w:webHidden/>
          </w:rPr>
          <w:instrText xml:space="preserve"> PAGEREF _Toc62481523 \h </w:instrText>
        </w:r>
        <w:r w:rsidR="00F7293C" w:rsidRPr="00CE1426">
          <w:rPr>
            <w:bCs/>
            <w:noProof/>
            <w:webHidden/>
          </w:rPr>
        </w:r>
        <w:r w:rsidR="00F7293C" w:rsidRPr="00CE1426">
          <w:rPr>
            <w:bCs/>
            <w:noProof/>
            <w:webHidden/>
          </w:rPr>
          <w:fldChar w:fldCharType="separate"/>
        </w:r>
        <w:r w:rsidR="00BD36F2">
          <w:rPr>
            <w:bCs/>
            <w:noProof/>
            <w:webHidden/>
          </w:rPr>
          <w:t>49</w:t>
        </w:r>
        <w:r w:rsidR="00F7293C" w:rsidRPr="00CE1426">
          <w:rPr>
            <w:bCs/>
            <w:noProof/>
            <w:webHidden/>
          </w:rPr>
          <w:fldChar w:fldCharType="end"/>
        </w:r>
      </w:hyperlink>
    </w:p>
    <w:p w14:paraId="37D77ECF" w14:textId="70E21E6D" w:rsidR="00F7293C" w:rsidRPr="00CE1426" w:rsidRDefault="00A54FE8" w:rsidP="00F7293C">
      <w:pPr>
        <w:pStyle w:val="Tabladeilustraciones"/>
        <w:tabs>
          <w:tab w:val="right" w:leader="dot" w:pos="8714"/>
        </w:tabs>
        <w:ind w:firstLine="0"/>
        <w:rPr>
          <w:bCs/>
          <w:noProof/>
        </w:rPr>
      </w:pPr>
      <w:hyperlink w:anchor="_Toc62481524" w:history="1">
        <w:r w:rsidR="00F7293C" w:rsidRPr="00CE1426">
          <w:rPr>
            <w:rStyle w:val="Hipervnculo"/>
            <w:rFonts w:cs="Times New Roman"/>
            <w:bCs/>
            <w:noProof/>
          </w:rPr>
          <w:t>Gráfico 4. Actividad Económica de las Mujeres Víctimas de Violencia Intrafamiliar entre los 27 y 35 años, 2018-2019.</w:t>
        </w:r>
        <w:r w:rsidR="00F7293C" w:rsidRPr="00CE1426">
          <w:rPr>
            <w:bCs/>
            <w:noProof/>
            <w:webHidden/>
          </w:rPr>
          <w:tab/>
        </w:r>
        <w:r w:rsidR="00F7293C" w:rsidRPr="00CE1426">
          <w:rPr>
            <w:bCs/>
            <w:noProof/>
            <w:webHidden/>
          </w:rPr>
          <w:fldChar w:fldCharType="begin"/>
        </w:r>
        <w:r w:rsidR="00F7293C" w:rsidRPr="00CE1426">
          <w:rPr>
            <w:bCs/>
            <w:noProof/>
            <w:webHidden/>
          </w:rPr>
          <w:instrText xml:space="preserve"> PAGEREF _Toc62481524 \h </w:instrText>
        </w:r>
        <w:r w:rsidR="00F7293C" w:rsidRPr="00CE1426">
          <w:rPr>
            <w:bCs/>
            <w:noProof/>
            <w:webHidden/>
          </w:rPr>
        </w:r>
        <w:r w:rsidR="00F7293C" w:rsidRPr="00CE1426">
          <w:rPr>
            <w:bCs/>
            <w:noProof/>
            <w:webHidden/>
          </w:rPr>
          <w:fldChar w:fldCharType="separate"/>
        </w:r>
        <w:r w:rsidR="00BD36F2">
          <w:rPr>
            <w:bCs/>
            <w:noProof/>
            <w:webHidden/>
          </w:rPr>
          <w:t>50</w:t>
        </w:r>
        <w:r w:rsidR="00F7293C" w:rsidRPr="00CE1426">
          <w:rPr>
            <w:bCs/>
            <w:noProof/>
            <w:webHidden/>
          </w:rPr>
          <w:fldChar w:fldCharType="end"/>
        </w:r>
      </w:hyperlink>
    </w:p>
    <w:p w14:paraId="612891EE" w14:textId="2DB6204D" w:rsidR="00F7293C" w:rsidRPr="00CE1426" w:rsidRDefault="00A54FE8" w:rsidP="00F7293C">
      <w:pPr>
        <w:pStyle w:val="Tabladeilustraciones"/>
        <w:tabs>
          <w:tab w:val="right" w:leader="dot" w:pos="8714"/>
        </w:tabs>
        <w:ind w:firstLine="0"/>
        <w:rPr>
          <w:bCs/>
          <w:noProof/>
        </w:rPr>
      </w:pPr>
      <w:hyperlink w:anchor="_Toc62481525" w:history="1">
        <w:r w:rsidR="00F7293C" w:rsidRPr="00CE1426">
          <w:rPr>
            <w:rStyle w:val="Hipervnculo"/>
            <w:rFonts w:cs="Times New Roman"/>
            <w:bCs/>
            <w:noProof/>
          </w:rPr>
          <w:t>Gráfico 5. Estado Civil de las Mujeres Víctimas de Violencia Intrafamiliar para el Período del 2018-2019.</w:t>
        </w:r>
        <w:r w:rsidR="00F7293C" w:rsidRPr="00CE1426">
          <w:rPr>
            <w:bCs/>
            <w:noProof/>
            <w:webHidden/>
          </w:rPr>
          <w:tab/>
        </w:r>
        <w:r w:rsidR="00F7293C" w:rsidRPr="00CE1426">
          <w:rPr>
            <w:bCs/>
            <w:noProof/>
            <w:webHidden/>
          </w:rPr>
          <w:fldChar w:fldCharType="begin"/>
        </w:r>
        <w:r w:rsidR="00F7293C" w:rsidRPr="00CE1426">
          <w:rPr>
            <w:bCs/>
            <w:noProof/>
            <w:webHidden/>
          </w:rPr>
          <w:instrText xml:space="preserve"> PAGEREF _Toc62481525 \h </w:instrText>
        </w:r>
        <w:r w:rsidR="00F7293C" w:rsidRPr="00CE1426">
          <w:rPr>
            <w:bCs/>
            <w:noProof/>
            <w:webHidden/>
          </w:rPr>
        </w:r>
        <w:r w:rsidR="00F7293C" w:rsidRPr="00CE1426">
          <w:rPr>
            <w:bCs/>
            <w:noProof/>
            <w:webHidden/>
          </w:rPr>
          <w:fldChar w:fldCharType="separate"/>
        </w:r>
        <w:r w:rsidR="00BD36F2">
          <w:rPr>
            <w:bCs/>
            <w:noProof/>
            <w:webHidden/>
          </w:rPr>
          <w:t>51</w:t>
        </w:r>
        <w:r w:rsidR="00F7293C" w:rsidRPr="00CE1426">
          <w:rPr>
            <w:bCs/>
            <w:noProof/>
            <w:webHidden/>
          </w:rPr>
          <w:fldChar w:fldCharType="end"/>
        </w:r>
      </w:hyperlink>
    </w:p>
    <w:p w14:paraId="6C734348" w14:textId="3F02089C" w:rsidR="00F7293C" w:rsidRPr="00CE1426" w:rsidRDefault="00A54FE8" w:rsidP="00F7293C">
      <w:pPr>
        <w:pStyle w:val="Tabladeilustraciones"/>
        <w:tabs>
          <w:tab w:val="right" w:leader="dot" w:pos="8714"/>
        </w:tabs>
        <w:ind w:firstLine="0"/>
        <w:rPr>
          <w:bCs/>
          <w:noProof/>
        </w:rPr>
      </w:pPr>
      <w:hyperlink w:anchor="_Toc62481526" w:history="1">
        <w:r w:rsidR="00F7293C" w:rsidRPr="00CE1426">
          <w:rPr>
            <w:rStyle w:val="Hipervnculo"/>
            <w:rFonts w:cs="Times New Roman"/>
            <w:bCs/>
            <w:noProof/>
          </w:rPr>
          <w:t>Gráfico 6. Nacionalidad de las Mujeres Víctimas de Violencia Intrafamiliar.</w:t>
        </w:r>
        <w:r w:rsidR="00F7293C" w:rsidRPr="00CE1426">
          <w:rPr>
            <w:bCs/>
            <w:noProof/>
            <w:webHidden/>
          </w:rPr>
          <w:tab/>
        </w:r>
        <w:r w:rsidR="00F7293C" w:rsidRPr="00CE1426">
          <w:rPr>
            <w:bCs/>
            <w:noProof/>
            <w:webHidden/>
          </w:rPr>
          <w:fldChar w:fldCharType="begin"/>
        </w:r>
        <w:r w:rsidR="00F7293C" w:rsidRPr="00CE1426">
          <w:rPr>
            <w:bCs/>
            <w:noProof/>
            <w:webHidden/>
          </w:rPr>
          <w:instrText xml:space="preserve"> PAGEREF _Toc62481526 \h </w:instrText>
        </w:r>
        <w:r w:rsidR="00F7293C" w:rsidRPr="00CE1426">
          <w:rPr>
            <w:bCs/>
            <w:noProof/>
            <w:webHidden/>
          </w:rPr>
        </w:r>
        <w:r w:rsidR="00F7293C" w:rsidRPr="00CE1426">
          <w:rPr>
            <w:bCs/>
            <w:noProof/>
            <w:webHidden/>
          </w:rPr>
          <w:fldChar w:fldCharType="separate"/>
        </w:r>
        <w:r w:rsidR="00BD36F2">
          <w:rPr>
            <w:bCs/>
            <w:noProof/>
            <w:webHidden/>
          </w:rPr>
          <w:t>52</w:t>
        </w:r>
        <w:r w:rsidR="00F7293C" w:rsidRPr="00CE1426">
          <w:rPr>
            <w:bCs/>
            <w:noProof/>
            <w:webHidden/>
          </w:rPr>
          <w:fldChar w:fldCharType="end"/>
        </w:r>
      </w:hyperlink>
    </w:p>
    <w:p w14:paraId="1CE9099C" w14:textId="4C110BF5" w:rsidR="00F7293C" w:rsidRPr="00CE1426" w:rsidRDefault="00A54FE8" w:rsidP="00F7293C">
      <w:pPr>
        <w:pStyle w:val="Tabladeilustraciones"/>
        <w:tabs>
          <w:tab w:val="right" w:leader="dot" w:pos="8714"/>
        </w:tabs>
        <w:ind w:firstLine="0"/>
        <w:rPr>
          <w:bCs/>
          <w:noProof/>
        </w:rPr>
      </w:pPr>
      <w:hyperlink w:anchor="_Toc62481527" w:history="1">
        <w:r w:rsidR="00F7293C" w:rsidRPr="00CE1426">
          <w:rPr>
            <w:rStyle w:val="Hipervnculo"/>
            <w:rFonts w:cs="Times New Roman"/>
            <w:bCs/>
            <w:noProof/>
          </w:rPr>
          <w:t>Gráfico 7. Cantones de San José con mayor índice de Violencia.</w:t>
        </w:r>
        <w:r w:rsidR="00F7293C" w:rsidRPr="00CE1426">
          <w:rPr>
            <w:bCs/>
            <w:noProof/>
            <w:webHidden/>
          </w:rPr>
          <w:tab/>
        </w:r>
        <w:r w:rsidR="00F7293C" w:rsidRPr="00CE1426">
          <w:rPr>
            <w:bCs/>
            <w:noProof/>
            <w:webHidden/>
          </w:rPr>
          <w:fldChar w:fldCharType="begin"/>
        </w:r>
        <w:r w:rsidR="00F7293C" w:rsidRPr="00CE1426">
          <w:rPr>
            <w:bCs/>
            <w:noProof/>
            <w:webHidden/>
          </w:rPr>
          <w:instrText xml:space="preserve"> PAGEREF _Toc62481527 \h </w:instrText>
        </w:r>
        <w:r w:rsidR="00F7293C" w:rsidRPr="00CE1426">
          <w:rPr>
            <w:bCs/>
            <w:noProof/>
            <w:webHidden/>
          </w:rPr>
        </w:r>
        <w:r w:rsidR="00F7293C" w:rsidRPr="00CE1426">
          <w:rPr>
            <w:bCs/>
            <w:noProof/>
            <w:webHidden/>
          </w:rPr>
          <w:fldChar w:fldCharType="separate"/>
        </w:r>
        <w:r w:rsidR="00BD36F2">
          <w:rPr>
            <w:bCs/>
            <w:noProof/>
            <w:webHidden/>
          </w:rPr>
          <w:t>53</w:t>
        </w:r>
        <w:r w:rsidR="00F7293C" w:rsidRPr="00CE1426">
          <w:rPr>
            <w:bCs/>
            <w:noProof/>
            <w:webHidden/>
          </w:rPr>
          <w:fldChar w:fldCharType="end"/>
        </w:r>
      </w:hyperlink>
    </w:p>
    <w:p w14:paraId="3322613E" w14:textId="45049430" w:rsidR="00F7293C" w:rsidRPr="00CE1426" w:rsidRDefault="00A54FE8" w:rsidP="00F7293C">
      <w:pPr>
        <w:pStyle w:val="Tabladeilustraciones"/>
        <w:tabs>
          <w:tab w:val="right" w:leader="dot" w:pos="8714"/>
        </w:tabs>
        <w:ind w:firstLine="0"/>
        <w:rPr>
          <w:bCs/>
          <w:noProof/>
        </w:rPr>
      </w:pPr>
      <w:hyperlink w:anchor="_Toc62481528" w:history="1">
        <w:r w:rsidR="00F7293C" w:rsidRPr="00CE1426">
          <w:rPr>
            <w:rStyle w:val="Hipervnculo"/>
            <w:rFonts w:cs="Times New Roman"/>
            <w:bCs/>
            <w:noProof/>
          </w:rPr>
          <w:t>Gráfico 8. Tipos de violencia intrafamiliar.</w:t>
        </w:r>
        <w:r w:rsidR="00F7293C" w:rsidRPr="00CE1426">
          <w:rPr>
            <w:bCs/>
            <w:noProof/>
            <w:webHidden/>
          </w:rPr>
          <w:tab/>
        </w:r>
        <w:r w:rsidR="00F7293C" w:rsidRPr="00CE1426">
          <w:rPr>
            <w:bCs/>
            <w:noProof/>
            <w:webHidden/>
          </w:rPr>
          <w:fldChar w:fldCharType="begin"/>
        </w:r>
        <w:r w:rsidR="00F7293C" w:rsidRPr="00CE1426">
          <w:rPr>
            <w:bCs/>
            <w:noProof/>
            <w:webHidden/>
          </w:rPr>
          <w:instrText xml:space="preserve"> PAGEREF _Toc62481528 \h </w:instrText>
        </w:r>
        <w:r w:rsidR="00F7293C" w:rsidRPr="00CE1426">
          <w:rPr>
            <w:bCs/>
            <w:noProof/>
            <w:webHidden/>
          </w:rPr>
        </w:r>
        <w:r w:rsidR="00F7293C" w:rsidRPr="00CE1426">
          <w:rPr>
            <w:bCs/>
            <w:noProof/>
            <w:webHidden/>
          </w:rPr>
          <w:fldChar w:fldCharType="separate"/>
        </w:r>
        <w:r w:rsidR="00BD36F2">
          <w:rPr>
            <w:bCs/>
            <w:noProof/>
            <w:webHidden/>
          </w:rPr>
          <w:t>57</w:t>
        </w:r>
        <w:r w:rsidR="00F7293C" w:rsidRPr="00CE1426">
          <w:rPr>
            <w:bCs/>
            <w:noProof/>
            <w:webHidden/>
          </w:rPr>
          <w:fldChar w:fldCharType="end"/>
        </w:r>
      </w:hyperlink>
    </w:p>
    <w:p w14:paraId="48F94A82" w14:textId="5BB5DBA3" w:rsidR="00F7293C" w:rsidRPr="00CE1426" w:rsidRDefault="00A54FE8" w:rsidP="00F7293C">
      <w:pPr>
        <w:pStyle w:val="Tabladeilustraciones"/>
        <w:tabs>
          <w:tab w:val="right" w:leader="dot" w:pos="8714"/>
        </w:tabs>
        <w:ind w:firstLine="0"/>
        <w:rPr>
          <w:bCs/>
          <w:noProof/>
        </w:rPr>
      </w:pPr>
      <w:hyperlink w:anchor="_Toc62481529" w:history="1">
        <w:r w:rsidR="00F7293C" w:rsidRPr="00CE1426">
          <w:rPr>
            <w:rStyle w:val="Hipervnculo"/>
            <w:rFonts w:cs="Times New Roman"/>
            <w:bCs/>
            <w:noProof/>
          </w:rPr>
          <w:t>Gráfico 9. Ocasiones en que la Presunta Víctima Gestionó Medidas de Protección</w:t>
        </w:r>
        <w:r w:rsidR="00F7293C" w:rsidRPr="00CE1426">
          <w:rPr>
            <w:bCs/>
            <w:noProof/>
            <w:webHidden/>
          </w:rPr>
          <w:tab/>
        </w:r>
        <w:r w:rsidR="00F7293C" w:rsidRPr="00CE1426">
          <w:rPr>
            <w:bCs/>
            <w:noProof/>
            <w:webHidden/>
          </w:rPr>
          <w:fldChar w:fldCharType="begin"/>
        </w:r>
        <w:r w:rsidR="00F7293C" w:rsidRPr="00CE1426">
          <w:rPr>
            <w:bCs/>
            <w:noProof/>
            <w:webHidden/>
          </w:rPr>
          <w:instrText xml:space="preserve"> PAGEREF _Toc62481529 \h </w:instrText>
        </w:r>
        <w:r w:rsidR="00F7293C" w:rsidRPr="00CE1426">
          <w:rPr>
            <w:bCs/>
            <w:noProof/>
            <w:webHidden/>
          </w:rPr>
        </w:r>
        <w:r w:rsidR="00F7293C" w:rsidRPr="00CE1426">
          <w:rPr>
            <w:bCs/>
            <w:noProof/>
            <w:webHidden/>
          </w:rPr>
          <w:fldChar w:fldCharType="separate"/>
        </w:r>
        <w:r w:rsidR="00BD36F2">
          <w:rPr>
            <w:bCs/>
            <w:noProof/>
            <w:webHidden/>
          </w:rPr>
          <w:t>65</w:t>
        </w:r>
        <w:r w:rsidR="00F7293C" w:rsidRPr="00CE1426">
          <w:rPr>
            <w:bCs/>
            <w:noProof/>
            <w:webHidden/>
          </w:rPr>
          <w:fldChar w:fldCharType="end"/>
        </w:r>
      </w:hyperlink>
    </w:p>
    <w:p w14:paraId="1EAC45E7" w14:textId="6AB7F320" w:rsidR="00F7293C" w:rsidRPr="00CE1426" w:rsidRDefault="00A54FE8" w:rsidP="00F7293C">
      <w:pPr>
        <w:pStyle w:val="Tabladeilustraciones"/>
        <w:tabs>
          <w:tab w:val="right" w:leader="dot" w:pos="8714"/>
        </w:tabs>
        <w:ind w:firstLine="0"/>
        <w:rPr>
          <w:bCs/>
          <w:noProof/>
        </w:rPr>
      </w:pPr>
      <w:hyperlink w:anchor="_Toc62481530" w:history="1">
        <w:r w:rsidR="00F7293C" w:rsidRPr="00CE1426">
          <w:rPr>
            <w:rStyle w:val="Hipervnculo"/>
            <w:rFonts w:cs="Times New Roman"/>
            <w:bCs/>
            <w:noProof/>
          </w:rPr>
          <w:t>Gráfico 10. Momento de la detección de la Vulnerabilidad Cognitiva.</w:t>
        </w:r>
        <w:r w:rsidR="00F7293C" w:rsidRPr="00CE1426">
          <w:rPr>
            <w:bCs/>
            <w:noProof/>
            <w:webHidden/>
          </w:rPr>
          <w:tab/>
        </w:r>
        <w:r w:rsidR="00F7293C" w:rsidRPr="00CE1426">
          <w:rPr>
            <w:bCs/>
            <w:noProof/>
            <w:webHidden/>
          </w:rPr>
          <w:fldChar w:fldCharType="begin"/>
        </w:r>
        <w:r w:rsidR="00F7293C" w:rsidRPr="00CE1426">
          <w:rPr>
            <w:bCs/>
            <w:noProof/>
            <w:webHidden/>
          </w:rPr>
          <w:instrText xml:space="preserve"> PAGEREF _Toc62481530 \h </w:instrText>
        </w:r>
        <w:r w:rsidR="00F7293C" w:rsidRPr="00CE1426">
          <w:rPr>
            <w:bCs/>
            <w:noProof/>
            <w:webHidden/>
          </w:rPr>
        </w:r>
        <w:r w:rsidR="00F7293C" w:rsidRPr="00CE1426">
          <w:rPr>
            <w:bCs/>
            <w:noProof/>
            <w:webHidden/>
          </w:rPr>
          <w:fldChar w:fldCharType="separate"/>
        </w:r>
        <w:r w:rsidR="00BD36F2">
          <w:rPr>
            <w:bCs/>
            <w:noProof/>
            <w:webHidden/>
          </w:rPr>
          <w:t>69</w:t>
        </w:r>
        <w:r w:rsidR="00F7293C" w:rsidRPr="00CE1426">
          <w:rPr>
            <w:bCs/>
            <w:noProof/>
            <w:webHidden/>
          </w:rPr>
          <w:fldChar w:fldCharType="end"/>
        </w:r>
      </w:hyperlink>
    </w:p>
    <w:p w14:paraId="5A5AA5D1" w14:textId="52027F3E" w:rsidR="00817390" w:rsidRPr="00F7293C" w:rsidRDefault="00F7293C" w:rsidP="00F7293C">
      <w:pPr>
        <w:pStyle w:val="Standard"/>
        <w:spacing w:after="200" w:line="360" w:lineRule="auto"/>
        <w:jc w:val="center"/>
        <w:rPr>
          <w:rFonts w:ascii="Times New Roman" w:eastAsia="Times New Roman" w:hAnsi="Times New Roman" w:cs="Times New Roman"/>
          <w:b/>
          <w:sz w:val="24"/>
          <w:lang w:val="es-SV"/>
        </w:rPr>
      </w:pPr>
      <w:r w:rsidRPr="00F7293C">
        <w:rPr>
          <w:rFonts w:ascii="Times New Roman" w:eastAsia="Times New Roman" w:hAnsi="Times New Roman" w:cs="Times New Roman"/>
          <w:b/>
          <w:sz w:val="24"/>
          <w:lang w:val="es-SV"/>
        </w:rPr>
        <w:fldChar w:fldCharType="end"/>
      </w:r>
    </w:p>
    <w:p w14:paraId="198D6D0E" w14:textId="77777777" w:rsidR="00F7293C" w:rsidRDefault="00F7293C">
      <w:pPr>
        <w:pStyle w:val="Standard"/>
        <w:spacing w:after="200" w:line="360" w:lineRule="auto"/>
        <w:jc w:val="center"/>
        <w:rPr>
          <w:rFonts w:ascii="Times New Roman" w:eastAsia="Times New Roman" w:hAnsi="Times New Roman" w:cs="Times New Roman"/>
          <w:bCs/>
          <w:sz w:val="24"/>
          <w:lang w:val="es-SV"/>
        </w:rPr>
      </w:pPr>
    </w:p>
    <w:p w14:paraId="4551E287" w14:textId="48EF25E4" w:rsidR="00F7293C" w:rsidRDefault="00F7293C">
      <w:pPr>
        <w:pStyle w:val="Standard"/>
        <w:spacing w:after="200" w:line="360" w:lineRule="auto"/>
        <w:jc w:val="center"/>
        <w:rPr>
          <w:rFonts w:ascii="Times New Roman" w:eastAsia="Times New Roman" w:hAnsi="Times New Roman" w:cs="Times New Roman"/>
          <w:b/>
          <w:bCs/>
          <w:sz w:val="24"/>
          <w:lang w:val="es-SV"/>
        </w:rPr>
        <w:sectPr w:rsidR="00F7293C" w:rsidSect="00506621">
          <w:headerReference w:type="default" r:id="rId8"/>
          <w:pgSz w:w="12240" w:h="15840"/>
          <w:pgMar w:top="1418" w:right="1418" w:bottom="1418" w:left="1418" w:header="709" w:footer="709" w:gutter="680"/>
          <w:pgNumType w:fmt="lowerRoman"/>
          <w:cols w:space="720"/>
        </w:sectPr>
      </w:pPr>
    </w:p>
    <w:p w14:paraId="5BD18470" w14:textId="44192697" w:rsidR="00E10342" w:rsidRDefault="000424F2" w:rsidP="000424F2">
      <w:pPr>
        <w:pStyle w:val="Standard"/>
        <w:spacing w:after="0" w:line="360" w:lineRule="auto"/>
        <w:jc w:val="center"/>
        <w:rPr>
          <w:rFonts w:ascii="Times New Roman" w:eastAsia="Times New Roman" w:hAnsi="Times New Roman" w:cs="Times New Roman"/>
          <w:b/>
          <w:bCs/>
          <w:sz w:val="24"/>
          <w:lang w:val="es-SV"/>
        </w:rPr>
      </w:pPr>
      <w:r>
        <w:rPr>
          <w:rFonts w:ascii="Times New Roman" w:eastAsia="Times New Roman" w:hAnsi="Times New Roman" w:cs="Times New Roman"/>
          <w:b/>
          <w:bCs/>
          <w:sz w:val="24"/>
          <w:lang w:val="es-SV"/>
        </w:rPr>
        <w:lastRenderedPageBreak/>
        <w:t>ÍNDICE DE CUADROS</w:t>
      </w:r>
    </w:p>
    <w:p w14:paraId="44EB64AD" w14:textId="2032E88D" w:rsidR="000424F2" w:rsidRPr="000424F2" w:rsidRDefault="000424F2" w:rsidP="00593B17">
      <w:pPr>
        <w:pStyle w:val="Tabladeilustraciones"/>
        <w:tabs>
          <w:tab w:val="right" w:leader="dot" w:pos="8714"/>
        </w:tabs>
        <w:ind w:firstLine="0"/>
        <w:rPr>
          <w:rFonts w:asciiTheme="minorHAnsi" w:eastAsiaTheme="minorEastAsia" w:hAnsiTheme="minorHAnsi" w:cstheme="minorBidi"/>
          <w:noProof/>
          <w:kern w:val="0"/>
          <w:szCs w:val="24"/>
          <w:lang w:eastAsia="es-ES_tradnl"/>
        </w:rPr>
      </w:pPr>
      <w:r w:rsidRPr="000424F2">
        <w:rPr>
          <w:rFonts w:eastAsia="Times New Roman" w:cs="Times New Roman"/>
          <w:lang w:val="es-SV"/>
        </w:rPr>
        <w:fldChar w:fldCharType="begin"/>
      </w:r>
      <w:r w:rsidRPr="000424F2">
        <w:rPr>
          <w:rFonts w:eastAsia="Times New Roman" w:cs="Times New Roman"/>
          <w:lang w:val="es-SV"/>
        </w:rPr>
        <w:instrText xml:space="preserve"> TOC \h \z \c "Cuadro" </w:instrText>
      </w:r>
      <w:r w:rsidRPr="000424F2">
        <w:rPr>
          <w:rFonts w:eastAsia="Times New Roman" w:cs="Times New Roman"/>
          <w:lang w:val="es-SV"/>
        </w:rPr>
        <w:fldChar w:fldCharType="separate"/>
      </w:r>
      <w:hyperlink w:anchor="_Toc62484983" w:history="1">
        <w:r w:rsidRPr="000424F2">
          <w:rPr>
            <w:rStyle w:val="Hipervnculo"/>
            <w:rFonts w:cs="Times New Roman"/>
            <w:noProof/>
          </w:rPr>
          <w:t>Cuadro 1. Respecto al Número de Hijos Reportados por Solicitante.</w:t>
        </w:r>
        <w:r w:rsidRPr="000424F2">
          <w:rPr>
            <w:noProof/>
            <w:webHidden/>
          </w:rPr>
          <w:tab/>
        </w:r>
        <w:r w:rsidRPr="000424F2">
          <w:rPr>
            <w:noProof/>
            <w:webHidden/>
          </w:rPr>
          <w:fldChar w:fldCharType="begin"/>
        </w:r>
        <w:r w:rsidRPr="000424F2">
          <w:rPr>
            <w:noProof/>
            <w:webHidden/>
          </w:rPr>
          <w:instrText xml:space="preserve"> PAGEREF _Toc62484983 \h </w:instrText>
        </w:r>
        <w:r w:rsidRPr="000424F2">
          <w:rPr>
            <w:noProof/>
            <w:webHidden/>
          </w:rPr>
        </w:r>
        <w:r w:rsidRPr="000424F2">
          <w:rPr>
            <w:noProof/>
            <w:webHidden/>
          </w:rPr>
          <w:fldChar w:fldCharType="separate"/>
        </w:r>
        <w:r w:rsidR="00BD36F2">
          <w:rPr>
            <w:noProof/>
            <w:webHidden/>
          </w:rPr>
          <w:t>52</w:t>
        </w:r>
        <w:r w:rsidRPr="000424F2">
          <w:rPr>
            <w:noProof/>
            <w:webHidden/>
          </w:rPr>
          <w:fldChar w:fldCharType="end"/>
        </w:r>
      </w:hyperlink>
    </w:p>
    <w:p w14:paraId="4B8BE4C2" w14:textId="15820B2E" w:rsidR="000424F2" w:rsidRDefault="000424F2" w:rsidP="00593B17">
      <w:pPr>
        <w:pStyle w:val="Standard"/>
        <w:spacing w:after="200" w:line="360" w:lineRule="auto"/>
        <w:jc w:val="center"/>
        <w:rPr>
          <w:rFonts w:ascii="Times New Roman" w:eastAsia="Times New Roman" w:hAnsi="Times New Roman" w:cs="Times New Roman"/>
          <w:b/>
          <w:bCs/>
          <w:sz w:val="24"/>
          <w:lang w:val="es-SV"/>
        </w:rPr>
      </w:pPr>
      <w:r w:rsidRPr="000424F2">
        <w:rPr>
          <w:rFonts w:ascii="Times New Roman" w:eastAsia="Times New Roman" w:hAnsi="Times New Roman" w:cs="Times New Roman"/>
          <w:sz w:val="24"/>
          <w:lang w:val="es-SV"/>
        </w:rPr>
        <w:fldChar w:fldCharType="end"/>
      </w:r>
    </w:p>
    <w:p w14:paraId="1D6F6C4A" w14:textId="77777777" w:rsidR="000424F2" w:rsidRDefault="000424F2">
      <w:pPr>
        <w:pStyle w:val="Standard"/>
        <w:spacing w:after="200" w:line="360" w:lineRule="auto"/>
        <w:jc w:val="center"/>
        <w:rPr>
          <w:rFonts w:ascii="Times New Roman" w:eastAsia="Times New Roman" w:hAnsi="Times New Roman" w:cs="Times New Roman"/>
          <w:b/>
          <w:bCs/>
          <w:sz w:val="24"/>
          <w:lang w:val="es-SV"/>
        </w:rPr>
        <w:sectPr w:rsidR="000424F2" w:rsidSect="00506621">
          <w:pgSz w:w="12240" w:h="15840"/>
          <w:pgMar w:top="1418" w:right="1418" w:bottom="1418" w:left="1418" w:header="709" w:footer="709" w:gutter="680"/>
          <w:pgNumType w:fmt="lowerRoman"/>
          <w:cols w:space="720"/>
        </w:sectPr>
      </w:pPr>
    </w:p>
    <w:p w14:paraId="5C035CCD" w14:textId="71EA67BA" w:rsidR="000424F2" w:rsidRDefault="000424F2" w:rsidP="000424F2">
      <w:pPr>
        <w:pStyle w:val="Standard"/>
        <w:spacing w:after="0" w:line="360" w:lineRule="auto"/>
        <w:jc w:val="center"/>
        <w:rPr>
          <w:rFonts w:ascii="Times New Roman" w:eastAsia="Times New Roman" w:hAnsi="Times New Roman" w:cs="Times New Roman"/>
          <w:b/>
          <w:bCs/>
          <w:sz w:val="24"/>
          <w:lang w:val="es-SV"/>
        </w:rPr>
      </w:pPr>
      <w:r>
        <w:rPr>
          <w:rFonts w:ascii="Times New Roman" w:eastAsia="Times New Roman" w:hAnsi="Times New Roman" w:cs="Times New Roman"/>
          <w:b/>
          <w:bCs/>
          <w:sz w:val="24"/>
          <w:lang w:val="es-SV"/>
        </w:rPr>
        <w:lastRenderedPageBreak/>
        <w:t xml:space="preserve">ÍNDICE DE ILUSTRACIONES </w:t>
      </w:r>
    </w:p>
    <w:p w14:paraId="7A4DD508" w14:textId="5C101D4C" w:rsidR="000424F2" w:rsidRPr="00593B17" w:rsidRDefault="000424F2" w:rsidP="00593B17">
      <w:pPr>
        <w:pStyle w:val="Tabladeilustraciones"/>
        <w:tabs>
          <w:tab w:val="right" w:leader="dot" w:pos="8714"/>
        </w:tabs>
        <w:ind w:firstLine="0"/>
        <w:rPr>
          <w:rFonts w:asciiTheme="minorHAnsi" w:eastAsiaTheme="minorEastAsia" w:hAnsiTheme="minorHAnsi" w:cstheme="minorBidi"/>
          <w:noProof/>
          <w:kern w:val="0"/>
          <w:szCs w:val="24"/>
          <w:lang w:eastAsia="es-ES_tradnl"/>
        </w:rPr>
      </w:pPr>
      <w:r w:rsidRPr="00593B17">
        <w:rPr>
          <w:rFonts w:eastAsia="Times New Roman" w:cs="Times New Roman"/>
          <w:lang w:val="es-SV"/>
        </w:rPr>
        <w:fldChar w:fldCharType="begin"/>
      </w:r>
      <w:r w:rsidRPr="00593B17">
        <w:rPr>
          <w:rFonts w:eastAsia="Times New Roman" w:cs="Times New Roman"/>
          <w:lang w:val="es-SV"/>
        </w:rPr>
        <w:instrText xml:space="preserve"> TOC \h \z \c "Ilustración" </w:instrText>
      </w:r>
      <w:r w:rsidRPr="00593B17">
        <w:rPr>
          <w:rFonts w:eastAsia="Times New Roman" w:cs="Times New Roman"/>
          <w:lang w:val="es-SV"/>
        </w:rPr>
        <w:fldChar w:fldCharType="separate"/>
      </w:r>
      <w:hyperlink w:anchor="_Toc62485132" w:history="1">
        <w:r w:rsidRPr="00593B17">
          <w:rPr>
            <w:rStyle w:val="Hipervnculo"/>
            <w:rFonts w:cs="Times New Roman"/>
            <w:noProof/>
          </w:rPr>
          <w:t>Ilustración 1. Relación entre Información sobre Legislación, Pericia y Atención Usuaria.</w:t>
        </w:r>
        <w:r w:rsidRPr="00593B17">
          <w:rPr>
            <w:noProof/>
            <w:webHidden/>
          </w:rPr>
          <w:tab/>
        </w:r>
        <w:r w:rsidRPr="00593B17">
          <w:rPr>
            <w:noProof/>
            <w:webHidden/>
          </w:rPr>
          <w:fldChar w:fldCharType="begin"/>
        </w:r>
        <w:r w:rsidRPr="00593B17">
          <w:rPr>
            <w:noProof/>
            <w:webHidden/>
          </w:rPr>
          <w:instrText xml:space="preserve"> PAGEREF _Toc62485132 \h </w:instrText>
        </w:r>
        <w:r w:rsidRPr="00593B17">
          <w:rPr>
            <w:noProof/>
            <w:webHidden/>
          </w:rPr>
        </w:r>
        <w:r w:rsidRPr="00593B17">
          <w:rPr>
            <w:noProof/>
            <w:webHidden/>
          </w:rPr>
          <w:fldChar w:fldCharType="separate"/>
        </w:r>
        <w:r w:rsidR="00BD36F2">
          <w:rPr>
            <w:noProof/>
            <w:webHidden/>
          </w:rPr>
          <w:t>46</w:t>
        </w:r>
        <w:r w:rsidRPr="00593B17">
          <w:rPr>
            <w:noProof/>
            <w:webHidden/>
          </w:rPr>
          <w:fldChar w:fldCharType="end"/>
        </w:r>
      </w:hyperlink>
    </w:p>
    <w:p w14:paraId="489A33C5" w14:textId="16F28F2B" w:rsidR="000424F2" w:rsidRPr="00593B17" w:rsidRDefault="000424F2" w:rsidP="00593B17">
      <w:pPr>
        <w:pStyle w:val="Standard"/>
        <w:spacing w:after="0" w:line="360" w:lineRule="auto"/>
        <w:ind w:firstLine="567"/>
        <w:jc w:val="both"/>
        <w:rPr>
          <w:rFonts w:ascii="Times New Roman" w:eastAsia="Times New Roman" w:hAnsi="Times New Roman" w:cs="Times New Roman"/>
          <w:sz w:val="24"/>
          <w:lang w:val="es-SV"/>
        </w:rPr>
      </w:pPr>
      <w:r w:rsidRPr="00593B17">
        <w:rPr>
          <w:rFonts w:ascii="Times New Roman" w:eastAsia="Times New Roman" w:hAnsi="Times New Roman" w:cs="Times New Roman"/>
          <w:sz w:val="24"/>
          <w:lang w:val="es-SV"/>
        </w:rPr>
        <w:fldChar w:fldCharType="end"/>
      </w:r>
    </w:p>
    <w:p w14:paraId="62AD5D8F" w14:textId="569A03A9" w:rsidR="000424F2" w:rsidRDefault="000424F2">
      <w:pPr>
        <w:pStyle w:val="Standard"/>
        <w:spacing w:after="200" w:line="360" w:lineRule="auto"/>
        <w:jc w:val="center"/>
        <w:rPr>
          <w:rFonts w:ascii="Times New Roman" w:eastAsia="Times New Roman" w:hAnsi="Times New Roman" w:cs="Times New Roman"/>
          <w:b/>
          <w:bCs/>
          <w:sz w:val="24"/>
          <w:lang w:val="es-SV"/>
        </w:rPr>
      </w:pPr>
    </w:p>
    <w:p w14:paraId="6D8B4DBF" w14:textId="77777777" w:rsidR="000424F2" w:rsidRDefault="000424F2">
      <w:pPr>
        <w:pStyle w:val="Standard"/>
        <w:spacing w:after="200" w:line="360" w:lineRule="auto"/>
        <w:jc w:val="center"/>
        <w:rPr>
          <w:rFonts w:ascii="Times New Roman" w:eastAsia="Times New Roman" w:hAnsi="Times New Roman" w:cs="Times New Roman"/>
          <w:b/>
          <w:bCs/>
          <w:sz w:val="24"/>
          <w:lang w:val="es-SV"/>
        </w:rPr>
      </w:pPr>
    </w:p>
    <w:p w14:paraId="0DA08FB4" w14:textId="77777777" w:rsidR="000424F2" w:rsidRDefault="000424F2" w:rsidP="009E507D">
      <w:pPr>
        <w:jc w:val="center"/>
        <w:rPr>
          <w:b/>
          <w:bCs/>
        </w:rPr>
        <w:sectPr w:rsidR="000424F2" w:rsidSect="00506621">
          <w:pgSz w:w="12240" w:h="15840"/>
          <w:pgMar w:top="1418" w:right="1418" w:bottom="1418" w:left="1418" w:header="709" w:footer="709" w:gutter="680"/>
          <w:pgNumType w:fmt="lowerRoman"/>
          <w:cols w:space="720"/>
        </w:sectPr>
      </w:pPr>
      <w:bookmarkStart w:id="0" w:name="_Toc45205371"/>
      <w:bookmarkStart w:id="1" w:name="_Toc33167611"/>
      <w:bookmarkStart w:id="2" w:name="__RefHeading__27419_1894434827"/>
      <w:bookmarkStart w:id="3" w:name="_Toc61276963"/>
      <w:bookmarkStart w:id="4" w:name="_Toc62463312"/>
    </w:p>
    <w:p w14:paraId="3A52264F" w14:textId="25A031BB" w:rsidR="00685B1B" w:rsidRPr="009E507D" w:rsidRDefault="00685B1B" w:rsidP="009E507D">
      <w:pPr>
        <w:jc w:val="center"/>
        <w:rPr>
          <w:b/>
          <w:bCs/>
        </w:rPr>
      </w:pPr>
      <w:r w:rsidRPr="009E507D">
        <w:rPr>
          <w:b/>
          <w:bCs/>
        </w:rPr>
        <w:lastRenderedPageBreak/>
        <w:t>LISTADO DE SIGLAS</w:t>
      </w:r>
      <w:bookmarkEnd w:id="0"/>
      <w:bookmarkEnd w:id="1"/>
      <w:bookmarkEnd w:id="2"/>
      <w:bookmarkEnd w:id="3"/>
      <w:bookmarkEnd w:id="4"/>
    </w:p>
    <w:tbl>
      <w:tblPr>
        <w:tblW w:w="6746" w:type="dxa"/>
        <w:jc w:val="center"/>
        <w:tblLayout w:type="fixed"/>
        <w:tblCellMar>
          <w:left w:w="10" w:type="dxa"/>
          <w:right w:w="10" w:type="dxa"/>
        </w:tblCellMar>
        <w:tblLook w:val="04A0" w:firstRow="1" w:lastRow="0" w:firstColumn="1" w:lastColumn="0" w:noHBand="0" w:noVBand="1"/>
      </w:tblPr>
      <w:tblGrid>
        <w:gridCol w:w="5112"/>
        <w:gridCol w:w="426"/>
        <w:gridCol w:w="1109"/>
        <w:gridCol w:w="91"/>
        <w:gridCol w:w="8"/>
      </w:tblGrid>
      <w:tr w:rsidR="00685B1B" w14:paraId="0CE23EAF" w14:textId="77777777" w:rsidTr="00685B1B">
        <w:trPr>
          <w:gridAfter w:val="1"/>
          <w:wAfter w:w="8" w:type="dxa"/>
          <w:jc w:val="center"/>
        </w:trPr>
        <w:tc>
          <w:tcPr>
            <w:tcW w:w="5538" w:type="dxa"/>
            <w:gridSpan w:val="2"/>
            <w:tcBorders>
              <w:top w:val="single" w:sz="4" w:space="0" w:color="00000A"/>
              <w:bottom w:val="single" w:sz="4" w:space="0" w:color="00000A"/>
            </w:tcBorders>
            <w:shd w:val="clear" w:color="auto" w:fill="FFFFFF"/>
            <w:tcMar>
              <w:top w:w="0" w:type="dxa"/>
              <w:left w:w="108" w:type="dxa"/>
              <w:bottom w:w="0" w:type="dxa"/>
              <w:right w:w="108" w:type="dxa"/>
            </w:tcMar>
          </w:tcPr>
          <w:p w14:paraId="506B5060" w14:textId="77777777" w:rsidR="00E10342" w:rsidRDefault="00D31DDB" w:rsidP="00685B1B">
            <w:pPr>
              <w:pStyle w:val="Standard"/>
              <w:widowControl w:val="0"/>
              <w:spacing w:after="0" w:line="360" w:lineRule="auto"/>
              <w:jc w:val="both"/>
              <w:rPr>
                <w:rFonts w:ascii="Times New Roman" w:eastAsia="Times New Roman" w:hAnsi="Times New Roman" w:cs="Times New Roman"/>
                <w:b/>
                <w:bCs/>
                <w:sz w:val="24"/>
                <w:szCs w:val="24"/>
                <w:lang w:val="es-ES" w:eastAsia="es-CR"/>
              </w:rPr>
            </w:pPr>
            <w:r>
              <w:rPr>
                <w:rFonts w:ascii="Times New Roman" w:eastAsia="Times New Roman" w:hAnsi="Times New Roman" w:cs="Times New Roman"/>
                <w:b/>
                <w:bCs/>
                <w:sz w:val="24"/>
                <w:szCs w:val="24"/>
                <w:lang w:val="es-ES" w:eastAsia="es-CR"/>
              </w:rPr>
              <w:t>Nombre</w:t>
            </w:r>
          </w:p>
        </w:tc>
        <w:tc>
          <w:tcPr>
            <w:tcW w:w="1200" w:type="dxa"/>
            <w:gridSpan w:val="2"/>
            <w:tcBorders>
              <w:top w:val="single" w:sz="4" w:space="0" w:color="00000A"/>
              <w:bottom w:val="single" w:sz="4" w:space="0" w:color="00000A"/>
            </w:tcBorders>
            <w:shd w:val="clear" w:color="auto" w:fill="FFFFFF"/>
            <w:tcMar>
              <w:top w:w="0" w:type="dxa"/>
              <w:left w:w="108" w:type="dxa"/>
              <w:bottom w:w="0" w:type="dxa"/>
              <w:right w:w="108" w:type="dxa"/>
            </w:tcMar>
          </w:tcPr>
          <w:p w14:paraId="3FF74A18" w14:textId="77777777" w:rsidR="00E10342" w:rsidRDefault="00D31DDB" w:rsidP="00685B1B">
            <w:pPr>
              <w:pStyle w:val="Standard"/>
              <w:widowControl w:val="0"/>
              <w:spacing w:after="0" w:line="360" w:lineRule="auto"/>
              <w:jc w:val="both"/>
              <w:rPr>
                <w:rFonts w:ascii="Times New Roman" w:eastAsia="Times New Roman" w:hAnsi="Times New Roman" w:cs="Times New Roman"/>
                <w:b/>
                <w:bCs/>
                <w:sz w:val="24"/>
                <w:szCs w:val="24"/>
                <w:lang w:val="es-ES" w:eastAsia="es-CR"/>
              </w:rPr>
            </w:pPr>
            <w:r>
              <w:rPr>
                <w:rFonts w:ascii="Times New Roman" w:eastAsia="Times New Roman" w:hAnsi="Times New Roman" w:cs="Times New Roman"/>
                <w:b/>
                <w:bCs/>
                <w:sz w:val="24"/>
                <w:szCs w:val="24"/>
                <w:lang w:val="es-ES" w:eastAsia="es-CR"/>
              </w:rPr>
              <w:t>Sigla</w:t>
            </w:r>
          </w:p>
        </w:tc>
      </w:tr>
      <w:tr w:rsidR="00685B1B" w14:paraId="0B7A1F30" w14:textId="77777777" w:rsidTr="00685B1B">
        <w:trPr>
          <w:jc w:val="center"/>
        </w:trPr>
        <w:tc>
          <w:tcPr>
            <w:tcW w:w="5112" w:type="dxa"/>
            <w:tcBorders>
              <w:top w:val="single" w:sz="4" w:space="0" w:color="00000A"/>
            </w:tcBorders>
            <w:shd w:val="clear" w:color="auto" w:fill="FFFFFF"/>
            <w:tcMar>
              <w:top w:w="0" w:type="dxa"/>
              <w:left w:w="108" w:type="dxa"/>
              <w:bottom w:w="0" w:type="dxa"/>
              <w:right w:w="108" w:type="dxa"/>
            </w:tcMar>
          </w:tcPr>
          <w:p w14:paraId="5E8B6962" w14:textId="229C7823" w:rsidR="00E10342" w:rsidRDefault="00D31DDB" w:rsidP="00685B1B">
            <w:pPr>
              <w:pStyle w:val="Standard"/>
              <w:widowControl w:val="0"/>
              <w:spacing w:after="0" w:line="360" w:lineRule="auto"/>
              <w:jc w:val="both"/>
              <w:rPr>
                <w:rFonts w:ascii="Times New Roman" w:eastAsia="Times New Roman" w:hAnsi="Times New Roman" w:cs="Times New Roman"/>
                <w:bCs/>
                <w:sz w:val="24"/>
                <w:szCs w:val="24"/>
                <w:lang w:val="es-ES" w:eastAsia="es-CR"/>
              </w:rPr>
            </w:pPr>
            <w:r>
              <w:rPr>
                <w:rFonts w:ascii="Times New Roman" w:eastAsia="Times New Roman" w:hAnsi="Times New Roman" w:cs="Times New Roman"/>
                <w:bCs/>
                <w:sz w:val="24"/>
                <w:szCs w:val="24"/>
                <w:lang w:val="es-ES" w:eastAsia="es-CR"/>
              </w:rPr>
              <w:t>Violencia In</w:t>
            </w:r>
            <w:r w:rsidR="00440AB3">
              <w:rPr>
                <w:rFonts w:ascii="Times New Roman" w:eastAsia="Times New Roman" w:hAnsi="Times New Roman" w:cs="Times New Roman"/>
                <w:bCs/>
                <w:sz w:val="24"/>
                <w:szCs w:val="24"/>
                <w:lang w:val="es-ES" w:eastAsia="es-CR"/>
              </w:rPr>
              <w:t>t</w:t>
            </w:r>
            <w:r>
              <w:rPr>
                <w:rFonts w:ascii="Times New Roman" w:eastAsia="Times New Roman" w:hAnsi="Times New Roman" w:cs="Times New Roman"/>
                <w:bCs/>
                <w:sz w:val="24"/>
                <w:szCs w:val="24"/>
                <w:lang w:val="es-ES" w:eastAsia="es-CR"/>
              </w:rPr>
              <w:t>ra</w:t>
            </w:r>
            <w:r w:rsidR="00440AB3">
              <w:rPr>
                <w:rFonts w:ascii="Times New Roman" w:eastAsia="Times New Roman" w:hAnsi="Times New Roman" w:cs="Times New Roman"/>
                <w:bCs/>
                <w:sz w:val="24"/>
                <w:szCs w:val="24"/>
                <w:lang w:val="es-ES" w:eastAsia="es-CR"/>
              </w:rPr>
              <w:t>fa</w:t>
            </w:r>
            <w:r>
              <w:rPr>
                <w:rFonts w:ascii="Times New Roman" w:eastAsia="Times New Roman" w:hAnsi="Times New Roman" w:cs="Times New Roman"/>
                <w:bCs/>
                <w:sz w:val="24"/>
                <w:szCs w:val="24"/>
                <w:lang w:val="es-ES" w:eastAsia="es-CR"/>
              </w:rPr>
              <w:t>miliar</w:t>
            </w:r>
          </w:p>
        </w:tc>
        <w:tc>
          <w:tcPr>
            <w:tcW w:w="1634" w:type="dxa"/>
            <w:gridSpan w:val="4"/>
            <w:tcBorders>
              <w:top w:val="single" w:sz="4" w:space="0" w:color="00000A"/>
            </w:tcBorders>
            <w:shd w:val="clear" w:color="auto" w:fill="FFFFFF"/>
            <w:tcMar>
              <w:top w:w="0" w:type="dxa"/>
              <w:left w:w="108" w:type="dxa"/>
              <w:bottom w:w="0" w:type="dxa"/>
              <w:right w:w="108" w:type="dxa"/>
            </w:tcMar>
          </w:tcPr>
          <w:p w14:paraId="2556BC14" w14:textId="77777777" w:rsidR="00E10342" w:rsidRDefault="00D31DDB" w:rsidP="00685B1B">
            <w:pPr>
              <w:pStyle w:val="Standard"/>
              <w:widowControl w:val="0"/>
              <w:spacing w:after="0" w:line="360" w:lineRule="auto"/>
              <w:jc w:val="center"/>
              <w:rPr>
                <w:rFonts w:ascii="Times New Roman" w:eastAsia="Times New Roman" w:hAnsi="Times New Roman" w:cs="Times New Roman"/>
                <w:bCs/>
                <w:sz w:val="24"/>
                <w:szCs w:val="24"/>
                <w:lang w:val="es-ES" w:eastAsia="es-CR"/>
              </w:rPr>
            </w:pPr>
            <w:r>
              <w:rPr>
                <w:rFonts w:ascii="Times New Roman" w:eastAsia="Times New Roman" w:hAnsi="Times New Roman" w:cs="Times New Roman"/>
                <w:bCs/>
                <w:sz w:val="24"/>
                <w:szCs w:val="24"/>
                <w:lang w:val="es-ES" w:eastAsia="es-CR"/>
              </w:rPr>
              <w:t>V. I.</w:t>
            </w:r>
          </w:p>
        </w:tc>
      </w:tr>
      <w:tr w:rsidR="00685B1B" w14:paraId="51414D1C" w14:textId="77777777" w:rsidTr="00685B1B">
        <w:trPr>
          <w:jc w:val="center"/>
        </w:trPr>
        <w:tc>
          <w:tcPr>
            <w:tcW w:w="5112" w:type="dxa"/>
            <w:shd w:val="clear" w:color="auto" w:fill="FFFFFF"/>
            <w:tcMar>
              <w:top w:w="0" w:type="dxa"/>
              <w:left w:w="108" w:type="dxa"/>
              <w:bottom w:w="0" w:type="dxa"/>
              <w:right w:w="108" w:type="dxa"/>
            </w:tcMar>
          </w:tcPr>
          <w:p w14:paraId="670B38B2" w14:textId="77777777" w:rsidR="00E10342" w:rsidRDefault="00D31DDB" w:rsidP="00685B1B">
            <w:pPr>
              <w:pStyle w:val="Standard"/>
              <w:widowControl w:val="0"/>
              <w:spacing w:after="0" w:line="360" w:lineRule="auto"/>
              <w:jc w:val="both"/>
              <w:rPr>
                <w:rFonts w:ascii="Times New Roman" w:eastAsia="Times New Roman" w:hAnsi="Times New Roman" w:cs="Times New Roman"/>
                <w:bCs/>
                <w:sz w:val="24"/>
                <w:szCs w:val="24"/>
                <w:lang w:val="es-ES" w:eastAsia="es-CR"/>
              </w:rPr>
            </w:pPr>
            <w:r>
              <w:rPr>
                <w:rFonts w:ascii="Times New Roman" w:eastAsia="Times New Roman" w:hAnsi="Times New Roman" w:cs="Times New Roman"/>
                <w:bCs/>
                <w:sz w:val="24"/>
                <w:szCs w:val="24"/>
                <w:lang w:val="es-ES" w:eastAsia="es-CR"/>
              </w:rPr>
              <w:t>Violencia Doméstica</w:t>
            </w:r>
          </w:p>
        </w:tc>
        <w:tc>
          <w:tcPr>
            <w:tcW w:w="1634" w:type="dxa"/>
            <w:gridSpan w:val="4"/>
            <w:shd w:val="clear" w:color="auto" w:fill="FFFFFF"/>
            <w:tcMar>
              <w:top w:w="0" w:type="dxa"/>
              <w:left w:w="108" w:type="dxa"/>
              <w:bottom w:w="0" w:type="dxa"/>
              <w:right w:w="108" w:type="dxa"/>
            </w:tcMar>
          </w:tcPr>
          <w:p w14:paraId="348AF0B6" w14:textId="77777777" w:rsidR="00E10342" w:rsidRDefault="00D31DDB" w:rsidP="00685B1B">
            <w:pPr>
              <w:pStyle w:val="Standard"/>
              <w:widowControl w:val="0"/>
              <w:spacing w:after="0" w:line="360" w:lineRule="auto"/>
              <w:jc w:val="center"/>
              <w:rPr>
                <w:rFonts w:ascii="Times New Roman" w:eastAsia="Times New Roman" w:hAnsi="Times New Roman" w:cs="Times New Roman"/>
                <w:bCs/>
                <w:sz w:val="24"/>
                <w:szCs w:val="24"/>
                <w:lang w:val="es-ES" w:eastAsia="es-CR"/>
              </w:rPr>
            </w:pPr>
            <w:r>
              <w:rPr>
                <w:rFonts w:ascii="Times New Roman" w:eastAsia="Times New Roman" w:hAnsi="Times New Roman" w:cs="Times New Roman"/>
                <w:bCs/>
                <w:sz w:val="24"/>
                <w:szCs w:val="24"/>
                <w:lang w:val="es-ES" w:eastAsia="es-CR"/>
              </w:rPr>
              <w:t>V. D.</w:t>
            </w:r>
          </w:p>
        </w:tc>
      </w:tr>
      <w:tr w:rsidR="00685B1B" w14:paraId="09EC3516" w14:textId="77777777" w:rsidTr="00685B1B">
        <w:trPr>
          <w:gridAfter w:val="2"/>
          <w:wAfter w:w="99" w:type="dxa"/>
          <w:trHeight w:val="268"/>
          <w:jc w:val="center"/>
        </w:trPr>
        <w:tc>
          <w:tcPr>
            <w:tcW w:w="5112" w:type="dxa"/>
            <w:shd w:val="clear" w:color="auto" w:fill="FFFFFF"/>
            <w:tcMar>
              <w:top w:w="0" w:type="dxa"/>
              <w:left w:w="108" w:type="dxa"/>
              <w:bottom w:w="0" w:type="dxa"/>
              <w:right w:w="108" w:type="dxa"/>
            </w:tcMar>
          </w:tcPr>
          <w:p w14:paraId="331230D9" w14:textId="77777777" w:rsidR="00E10342" w:rsidRDefault="00D31DDB" w:rsidP="00685B1B">
            <w:pPr>
              <w:pStyle w:val="Standard"/>
              <w:widowControl w:val="0"/>
              <w:spacing w:after="0" w:line="360" w:lineRule="auto"/>
              <w:jc w:val="both"/>
              <w:rPr>
                <w:rFonts w:ascii="Times New Roman" w:eastAsia="Times New Roman" w:hAnsi="Times New Roman" w:cs="Times New Roman"/>
                <w:bCs/>
                <w:sz w:val="24"/>
                <w:szCs w:val="24"/>
                <w:lang w:val="es-ES" w:eastAsia="es-CR"/>
              </w:rPr>
            </w:pPr>
            <w:r>
              <w:rPr>
                <w:rFonts w:ascii="Times New Roman" w:eastAsia="Times New Roman" w:hAnsi="Times New Roman" w:cs="Times New Roman"/>
                <w:bCs/>
                <w:sz w:val="24"/>
                <w:szCs w:val="24"/>
                <w:lang w:val="es-ES" w:eastAsia="es-CR"/>
              </w:rPr>
              <w:t>Convención para Radicar la Violencia Doméstica</w:t>
            </w:r>
          </w:p>
        </w:tc>
        <w:tc>
          <w:tcPr>
            <w:tcW w:w="1535" w:type="dxa"/>
            <w:gridSpan w:val="2"/>
            <w:shd w:val="clear" w:color="auto" w:fill="FFFFFF"/>
            <w:tcMar>
              <w:top w:w="0" w:type="dxa"/>
              <w:left w:w="108" w:type="dxa"/>
              <w:bottom w:w="0" w:type="dxa"/>
              <w:right w:w="108" w:type="dxa"/>
            </w:tcMar>
          </w:tcPr>
          <w:p w14:paraId="5BE8B81E" w14:textId="77777777" w:rsidR="00E10342" w:rsidRDefault="00D31DDB" w:rsidP="00685B1B">
            <w:pPr>
              <w:pStyle w:val="Standard"/>
              <w:widowControl w:val="0"/>
              <w:spacing w:after="0" w:line="360" w:lineRule="auto"/>
              <w:jc w:val="center"/>
              <w:rPr>
                <w:rFonts w:ascii="Times New Roman" w:eastAsia="Times New Roman" w:hAnsi="Times New Roman" w:cs="Times New Roman"/>
                <w:bCs/>
                <w:color w:val="000000"/>
                <w:sz w:val="24"/>
                <w:szCs w:val="24"/>
                <w:lang w:val="es-ES" w:eastAsia="es-CR"/>
              </w:rPr>
            </w:pPr>
            <w:r>
              <w:rPr>
                <w:rFonts w:ascii="Times New Roman" w:eastAsia="Times New Roman" w:hAnsi="Times New Roman" w:cs="Times New Roman"/>
                <w:bCs/>
                <w:color w:val="000000"/>
                <w:sz w:val="24"/>
                <w:szCs w:val="24"/>
                <w:lang w:val="es-ES" w:eastAsia="es-CR"/>
              </w:rPr>
              <w:t>CEDAW</w:t>
            </w:r>
          </w:p>
        </w:tc>
      </w:tr>
      <w:tr w:rsidR="00685B1B" w14:paraId="54EF030D" w14:textId="77777777" w:rsidTr="00685B1B">
        <w:trPr>
          <w:gridAfter w:val="2"/>
          <w:wAfter w:w="99" w:type="dxa"/>
          <w:trHeight w:val="268"/>
          <w:jc w:val="center"/>
        </w:trPr>
        <w:tc>
          <w:tcPr>
            <w:tcW w:w="5112" w:type="dxa"/>
            <w:shd w:val="clear" w:color="auto" w:fill="FFFFFF"/>
            <w:tcMar>
              <w:top w:w="0" w:type="dxa"/>
              <w:left w:w="108" w:type="dxa"/>
              <w:bottom w:w="0" w:type="dxa"/>
              <w:right w:w="108" w:type="dxa"/>
            </w:tcMar>
          </w:tcPr>
          <w:p w14:paraId="45BD4CD5" w14:textId="77777777" w:rsidR="00E10342" w:rsidRDefault="00D31DDB" w:rsidP="00685B1B">
            <w:pPr>
              <w:pStyle w:val="Standard"/>
              <w:widowControl w:val="0"/>
              <w:spacing w:after="0" w:line="360" w:lineRule="auto"/>
              <w:jc w:val="both"/>
              <w:rPr>
                <w:rFonts w:ascii="Times New Roman" w:eastAsia="Times New Roman" w:hAnsi="Times New Roman" w:cs="Times New Roman"/>
                <w:bCs/>
                <w:sz w:val="24"/>
                <w:szCs w:val="24"/>
                <w:lang w:val="es-ES" w:eastAsia="es-CR"/>
              </w:rPr>
            </w:pPr>
            <w:r>
              <w:rPr>
                <w:rFonts w:ascii="Times New Roman" w:eastAsia="Times New Roman" w:hAnsi="Times New Roman" w:cs="Times New Roman"/>
                <w:bCs/>
                <w:sz w:val="24"/>
                <w:szCs w:val="24"/>
                <w:lang w:val="es-ES" w:eastAsia="es-CR"/>
              </w:rPr>
              <w:t>Organización Naciones Unidas</w:t>
            </w:r>
          </w:p>
        </w:tc>
        <w:tc>
          <w:tcPr>
            <w:tcW w:w="1535" w:type="dxa"/>
            <w:gridSpan w:val="2"/>
            <w:shd w:val="clear" w:color="auto" w:fill="FFFFFF"/>
            <w:tcMar>
              <w:top w:w="0" w:type="dxa"/>
              <w:left w:w="108" w:type="dxa"/>
              <w:bottom w:w="0" w:type="dxa"/>
              <w:right w:w="108" w:type="dxa"/>
            </w:tcMar>
          </w:tcPr>
          <w:p w14:paraId="0A3957EE" w14:textId="77777777" w:rsidR="00E10342" w:rsidRDefault="00D31DDB" w:rsidP="00685B1B">
            <w:pPr>
              <w:pStyle w:val="Standard"/>
              <w:widowControl w:val="0"/>
              <w:spacing w:after="0" w:line="360" w:lineRule="auto"/>
              <w:jc w:val="center"/>
              <w:rPr>
                <w:rFonts w:ascii="Times New Roman" w:eastAsia="Times New Roman" w:hAnsi="Times New Roman" w:cs="Times New Roman"/>
                <w:bCs/>
                <w:color w:val="000000"/>
                <w:sz w:val="24"/>
                <w:szCs w:val="24"/>
                <w:lang w:val="es-ES" w:eastAsia="es-CR"/>
              </w:rPr>
            </w:pPr>
            <w:r>
              <w:rPr>
                <w:rFonts w:ascii="Times New Roman" w:eastAsia="Times New Roman" w:hAnsi="Times New Roman" w:cs="Times New Roman"/>
                <w:bCs/>
                <w:color w:val="000000"/>
                <w:sz w:val="24"/>
                <w:szCs w:val="24"/>
                <w:lang w:val="es-ES" w:eastAsia="es-CR"/>
              </w:rPr>
              <w:t>ONU</w:t>
            </w:r>
          </w:p>
        </w:tc>
      </w:tr>
      <w:tr w:rsidR="00685B1B" w14:paraId="1E0DAC8A" w14:textId="77777777" w:rsidTr="00685B1B">
        <w:trPr>
          <w:gridAfter w:val="2"/>
          <w:wAfter w:w="99" w:type="dxa"/>
          <w:trHeight w:val="268"/>
          <w:jc w:val="center"/>
        </w:trPr>
        <w:tc>
          <w:tcPr>
            <w:tcW w:w="5112" w:type="dxa"/>
            <w:tcBorders>
              <w:bottom w:val="single" w:sz="4" w:space="0" w:color="00000A"/>
            </w:tcBorders>
            <w:shd w:val="clear" w:color="auto" w:fill="FFFFFF"/>
            <w:tcMar>
              <w:top w:w="0" w:type="dxa"/>
              <w:left w:w="108" w:type="dxa"/>
              <w:bottom w:w="0" w:type="dxa"/>
              <w:right w:w="108" w:type="dxa"/>
            </w:tcMar>
          </w:tcPr>
          <w:p w14:paraId="656C62C8" w14:textId="77777777" w:rsidR="00E10342" w:rsidRDefault="00D31DDB" w:rsidP="00685B1B">
            <w:pPr>
              <w:pStyle w:val="Standard"/>
              <w:widowControl w:val="0"/>
              <w:spacing w:after="0" w:line="360" w:lineRule="auto"/>
              <w:jc w:val="both"/>
              <w:rPr>
                <w:rFonts w:ascii="Times New Roman" w:eastAsia="Times New Roman" w:hAnsi="Times New Roman" w:cs="Times New Roman"/>
                <w:bCs/>
                <w:sz w:val="24"/>
                <w:szCs w:val="24"/>
                <w:lang w:val="es-ES" w:eastAsia="es-CR"/>
              </w:rPr>
            </w:pPr>
            <w:r>
              <w:rPr>
                <w:rFonts w:ascii="Times New Roman" w:eastAsia="Times New Roman" w:hAnsi="Times New Roman" w:cs="Times New Roman"/>
                <w:bCs/>
                <w:sz w:val="24"/>
                <w:szCs w:val="24"/>
                <w:lang w:val="es-ES" w:eastAsia="es-CR"/>
              </w:rPr>
              <w:t>Organización Mundial de la Salud</w:t>
            </w:r>
          </w:p>
          <w:p w14:paraId="3267AD73" w14:textId="543C22C7" w:rsidR="00AB0E2C" w:rsidRDefault="00AB0E2C" w:rsidP="00685B1B">
            <w:pPr>
              <w:pStyle w:val="Standard"/>
              <w:widowControl w:val="0"/>
              <w:spacing w:after="0" w:line="360" w:lineRule="auto"/>
              <w:jc w:val="both"/>
              <w:rPr>
                <w:rFonts w:ascii="Times New Roman" w:eastAsia="Times New Roman" w:hAnsi="Times New Roman" w:cs="Times New Roman"/>
                <w:bCs/>
                <w:sz w:val="24"/>
                <w:szCs w:val="24"/>
                <w:lang w:val="es-ES" w:eastAsia="es-CR"/>
              </w:rPr>
            </w:pPr>
            <w:r>
              <w:rPr>
                <w:rFonts w:ascii="Times New Roman" w:eastAsia="Times New Roman" w:hAnsi="Times New Roman" w:cs="Times New Roman"/>
                <w:bCs/>
                <w:sz w:val="24"/>
                <w:szCs w:val="24"/>
                <w:lang w:val="es-ES" w:eastAsia="es-CR"/>
              </w:rPr>
              <w:t>Trabajo Final de Graduación</w:t>
            </w:r>
          </w:p>
        </w:tc>
        <w:tc>
          <w:tcPr>
            <w:tcW w:w="1535" w:type="dxa"/>
            <w:gridSpan w:val="2"/>
            <w:tcBorders>
              <w:bottom w:val="single" w:sz="4" w:space="0" w:color="00000A"/>
            </w:tcBorders>
            <w:shd w:val="clear" w:color="auto" w:fill="FFFFFF"/>
            <w:tcMar>
              <w:top w:w="0" w:type="dxa"/>
              <w:left w:w="108" w:type="dxa"/>
              <w:bottom w:w="0" w:type="dxa"/>
              <w:right w:w="108" w:type="dxa"/>
            </w:tcMar>
          </w:tcPr>
          <w:p w14:paraId="70B13044" w14:textId="77777777" w:rsidR="00E10342" w:rsidRDefault="00D31DDB" w:rsidP="00685B1B">
            <w:pPr>
              <w:pStyle w:val="Standard"/>
              <w:widowControl w:val="0"/>
              <w:spacing w:after="0" w:line="360" w:lineRule="auto"/>
              <w:jc w:val="center"/>
              <w:rPr>
                <w:rFonts w:ascii="Times New Roman" w:eastAsia="Times New Roman" w:hAnsi="Times New Roman" w:cs="Times New Roman"/>
                <w:bCs/>
                <w:color w:val="000000"/>
                <w:sz w:val="24"/>
                <w:szCs w:val="24"/>
                <w:lang w:val="es-ES" w:eastAsia="es-CR"/>
              </w:rPr>
            </w:pPr>
            <w:r>
              <w:rPr>
                <w:rFonts w:ascii="Times New Roman" w:eastAsia="Times New Roman" w:hAnsi="Times New Roman" w:cs="Times New Roman"/>
                <w:bCs/>
                <w:color w:val="000000"/>
                <w:sz w:val="24"/>
                <w:szCs w:val="24"/>
                <w:lang w:val="es-ES" w:eastAsia="es-CR"/>
              </w:rPr>
              <w:t>OMS</w:t>
            </w:r>
          </w:p>
          <w:p w14:paraId="4E75F390" w14:textId="1BCC85E0" w:rsidR="00AB0E2C" w:rsidRDefault="00AB0E2C" w:rsidP="00685B1B">
            <w:pPr>
              <w:pStyle w:val="Standard"/>
              <w:widowControl w:val="0"/>
              <w:spacing w:after="0" w:line="360" w:lineRule="auto"/>
              <w:jc w:val="center"/>
              <w:rPr>
                <w:rFonts w:ascii="Times New Roman" w:eastAsia="Times New Roman" w:hAnsi="Times New Roman" w:cs="Times New Roman"/>
                <w:bCs/>
                <w:color w:val="000000"/>
                <w:sz w:val="24"/>
                <w:szCs w:val="24"/>
                <w:lang w:val="es-ES" w:eastAsia="es-CR"/>
              </w:rPr>
            </w:pPr>
            <w:r>
              <w:rPr>
                <w:rFonts w:ascii="Times New Roman" w:eastAsia="Times New Roman" w:hAnsi="Times New Roman" w:cs="Times New Roman"/>
                <w:bCs/>
                <w:color w:val="000000"/>
                <w:sz w:val="24"/>
                <w:szCs w:val="24"/>
                <w:lang w:val="es-ES" w:eastAsia="es-CR"/>
              </w:rPr>
              <w:t>TFG</w:t>
            </w:r>
          </w:p>
        </w:tc>
      </w:tr>
    </w:tbl>
    <w:p w14:paraId="1390812F" w14:textId="546F515F" w:rsidR="00E10342" w:rsidRPr="004F392D" w:rsidRDefault="00D31DDB" w:rsidP="004F392D">
      <w:pPr>
        <w:pStyle w:val="Standard"/>
        <w:keepNext/>
        <w:keepLines/>
        <w:spacing w:before="240" w:after="0" w:line="360" w:lineRule="auto"/>
        <w:ind w:left="705"/>
        <w:jc w:val="both"/>
        <w:outlineLvl w:val="0"/>
        <w:rPr>
          <w:rFonts w:ascii="Times New Roman" w:eastAsia="Calibri" w:hAnsi="Times New Roman" w:cs="Times New Roman"/>
          <w:bCs/>
          <w:sz w:val="24"/>
          <w:szCs w:val="24"/>
          <w:lang w:val="es-SV"/>
        </w:rPr>
      </w:pPr>
      <w:bookmarkStart w:id="5" w:name="__RefHeading__27421_1894434827"/>
      <w:r>
        <w:rPr>
          <w:rFonts w:ascii="Times New Roman" w:eastAsia="Times New Roman" w:hAnsi="Times New Roman" w:cs="Times New Roman"/>
          <w:bCs/>
          <w:sz w:val="24"/>
          <w:szCs w:val="24"/>
          <w:lang w:val="es-SV"/>
        </w:rPr>
        <w:t xml:space="preserve"> </w:t>
      </w:r>
      <w:bookmarkEnd w:id="5"/>
    </w:p>
    <w:p w14:paraId="64B34AFC" w14:textId="77777777" w:rsidR="004F392D" w:rsidRDefault="004F392D" w:rsidP="004F392D">
      <w:pPr>
        <w:ind w:firstLine="0"/>
        <w:sectPr w:rsidR="004F392D" w:rsidSect="00506621">
          <w:pgSz w:w="12240" w:h="15840"/>
          <w:pgMar w:top="1418" w:right="1418" w:bottom="1418" w:left="1418" w:header="709" w:footer="709" w:gutter="680"/>
          <w:pgNumType w:fmt="lowerRoman"/>
          <w:cols w:space="720"/>
        </w:sectPr>
      </w:pPr>
      <w:bookmarkStart w:id="6" w:name="__RefHeading__27423_1894434827"/>
      <w:bookmarkStart w:id="7" w:name="_Toc61276964"/>
      <w:bookmarkStart w:id="8" w:name="_Toc45205372"/>
      <w:bookmarkStart w:id="9" w:name="_Toc62463313"/>
    </w:p>
    <w:p w14:paraId="29B8B4A7" w14:textId="4D9192A3" w:rsidR="00E10342" w:rsidRPr="004F392D" w:rsidRDefault="00D31DDB" w:rsidP="004F392D">
      <w:pPr>
        <w:ind w:firstLine="0"/>
        <w:jc w:val="center"/>
        <w:rPr>
          <w:b/>
          <w:bCs/>
        </w:rPr>
      </w:pPr>
      <w:r w:rsidRPr="004F392D">
        <w:rPr>
          <w:b/>
          <w:bCs/>
        </w:rPr>
        <w:lastRenderedPageBreak/>
        <w:t>RESUMEN</w:t>
      </w:r>
      <w:bookmarkEnd w:id="6"/>
      <w:bookmarkEnd w:id="7"/>
      <w:bookmarkEnd w:id="8"/>
      <w:bookmarkEnd w:id="9"/>
    </w:p>
    <w:p w14:paraId="2DF73692" w14:textId="1AA3493F" w:rsidR="00E10342" w:rsidRDefault="00D31DDB" w:rsidP="001E3CDB">
      <w:pPr>
        <w:pStyle w:val="Standard"/>
        <w:spacing w:after="0" w:line="360" w:lineRule="auto"/>
        <w:ind w:firstLine="709"/>
        <w:jc w:val="both"/>
      </w:pPr>
      <w:r>
        <w:rPr>
          <w:rFonts w:ascii="Times New Roman" w:eastAsia="Calibri" w:hAnsi="Times New Roman" w:cs="Times New Roman"/>
          <w:bCs/>
          <w:sz w:val="24"/>
          <w:szCs w:val="24"/>
          <w:lang w:val="es-SV"/>
        </w:rPr>
        <w:t xml:space="preserve">En el presente trabajo final de graduación, titulado </w:t>
      </w:r>
      <w:r>
        <w:rPr>
          <w:rFonts w:ascii="Times New Roman" w:eastAsia="Calibri" w:hAnsi="Times New Roman" w:cs="Times New Roman"/>
          <w:bCs/>
          <w:i/>
          <w:iCs/>
          <w:sz w:val="24"/>
          <w:szCs w:val="24"/>
          <w:lang w:val="es-SV"/>
        </w:rPr>
        <w:t xml:space="preserve">Vulnerabilidades cognitivas en mujeres víctimas de violencia intrafamiliar con edades comprendidas entre los veintisiete y treinta y cinco </w:t>
      </w:r>
      <w:proofErr w:type="gramStart"/>
      <w:r>
        <w:rPr>
          <w:rFonts w:ascii="Times New Roman" w:eastAsia="Calibri" w:hAnsi="Times New Roman" w:cs="Times New Roman"/>
          <w:bCs/>
          <w:i/>
          <w:iCs/>
          <w:sz w:val="24"/>
          <w:szCs w:val="24"/>
          <w:lang w:val="es-SV"/>
        </w:rPr>
        <w:t>años de edad</w:t>
      </w:r>
      <w:proofErr w:type="gramEnd"/>
      <w:r>
        <w:rPr>
          <w:rFonts w:ascii="Times New Roman" w:eastAsia="Calibri" w:hAnsi="Times New Roman" w:cs="Times New Roman"/>
          <w:bCs/>
          <w:i/>
          <w:iCs/>
          <w:sz w:val="24"/>
          <w:szCs w:val="24"/>
          <w:lang w:val="es-SV"/>
        </w:rPr>
        <w:t>, en el Juzgado contra la Violencia Doméstica II Circuito Judicial de San José, en el período 2018-2019</w:t>
      </w:r>
      <w:r>
        <w:rPr>
          <w:rFonts w:ascii="Times New Roman" w:eastAsia="Calibri" w:hAnsi="Times New Roman" w:cs="Times New Roman"/>
          <w:bCs/>
          <w:sz w:val="24"/>
          <w:szCs w:val="24"/>
          <w:lang w:val="es-SV"/>
        </w:rPr>
        <w:t xml:space="preserve">, se propone llevar a cabo el </w:t>
      </w:r>
      <w:r w:rsidR="00BA60B9">
        <w:rPr>
          <w:rFonts w:ascii="Times New Roman" w:eastAsia="Calibri" w:hAnsi="Times New Roman" w:cs="Times New Roman"/>
          <w:bCs/>
          <w:sz w:val="24"/>
          <w:szCs w:val="24"/>
          <w:lang w:val="es-SV"/>
        </w:rPr>
        <w:t>análisis</w:t>
      </w:r>
      <w:r>
        <w:rPr>
          <w:rFonts w:ascii="Times New Roman" w:eastAsia="Calibri" w:hAnsi="Times New Roman" w:cs="Times New Roman"/>
          <w:bCs/>
          <w:sz w:val="24"/>
          <w:szCs w:val="24"/>
          <w:lang w:val="es-SV"/>
        </w:rPr>
        <w:t xml:space="preserve"> de </w:t>
      </w:r>
      <w:r w:rsidR="00BA60B9">
        <w:rPr>
          <w:rFonts w:ascii="Times New Roman" w:eastAsia="Calibri" w:hAnsi="Times New Roman" w:cs="Times New Roman"/>
          <w:bCs/>
          <w:sz w:val="24"/>
          <w:szCs w:val="24"/>
          <w:lang w:val="es-SV"/>
        </w:rPr>
        <w:t>expedientes</w:t>
      </w:r>
      <w:r>
        <w:rPr>
          <w:rFonts w:ascii="Times New Roman" w:eastAsia="Calibri" w:hAnsi="Times New Roman" w:cs="Times New Roman"/>
          <w:bCs/>
          <w:sz w:val="24"/>
          <w:szCs w:val="24"/>
          <w:lang w:val="es-SV"/>
        </w:rPr>
        <w:t xml:space="preserve"> del fenómeno social de la violencia intrafamiliar contra las mujeres. Lo anterior, centrando la atención en las limitaciones cognitivas que dicha población, en tanto víctima, podría presentar.</w:t>
      </w:r>
    </w:p>
    <w:p w14:paraId="7FF558F3" w14:textId="4DF932AB" w:rsidR="00E10342" w:rsidRDefault="00D31DDB" w:rsidP="001E3CDB">
      <w:pPr>
        <w:pStyle w:val="Standard"/>
        <w:spacing w:after="0" w:line="360" w:lineRule="auto"/>
        <w:ind w:firstLine="709"/>
        <w:jc w:val="both"/>
      </w:pPr>
      <w:r>
        <w:rPr>
          <w:rFonts w:ascii="Times New Roman" w:eastAsia="Calibri" w:hAnsi="Times New Roman" w:cs="Times New Roman"/>
          <w:bCs/>
          <w:sz w:val="24"/>
          <w:szCs w:val="24"/>
          <w:lang w:val="es-SV"/>
        </w:rPr>
        <w:t>Respecto a la violencia intrafamiliar, interesa destacar que la Organización Mundial de la Salud (OMS, (2000)</w:t>
      </w:r>
      <w:r>
        <w:rPr>
          <w:rFonts w:ascii="Times New Roman" w:eastAsia="Calibri" w:hAnsi="Times New Roman" w:cs="Times New Roman"/>
          <w:bCs/>
          <w:sz w:val="24"/>
          <w:szCs w:val="24"/>
        </w:rPr>
        <w:t xml:space="preserve">, </w:t>
      </w:r>
      <w:r w:rsidR="00D75232">
        <w:rPr>
          <w:rFonts w:ascii="Times New Roman" w:eastAsia="Calibri" w:hAnsi="Times New Roman" w:cs="Times New Roman"/>
          <w:bCs/>
          <w:sz w:val="24"/>
          <w:szCs w:val="24"/>
        </w:rPr>
        <w:t xml:space="preserve">la </w:t>
      </w:r>
      <w:r>
        <w:rPr>
          <w:rFonts w:ascii="Times New Roman" w:eastAsia="Calibri" w:hAnsi="Times New Roman" w:cs="Times New Roman"/>
          <w:bCs/>
          <w:sz w:val="24"/>
          <w:szCs w:val="24"/>
          <w:lang w:val="es-SV"/>
        </w:rPr>
        <w:t>ha denominado pandemia; esto, a razón de las graves afectaciones que provocan las agresiones físicas, patrimoniales, emocionales-psicológicas y sexuales infringidas por la pareja, expareja sentimental o cualquier otro miembro del núcleo familiar más cercano en la salud de las mujeres. Además, es innegable que cada una de las agresiones perpetradas vulnera la dignidad humana de las mujeres, lo cual es consagrado en los diversos instrumentos jurídicos internacionales suscritos y ratificados por Costa Rica.</w:t>
      </w:r>
    </w:p>
    <w:p w14:paraId="02626149" w14:textId="3ABB2113" w:rsidR="00E10342" w:rsidRDefault="00D31DDB" w:rsidP="001E3CDB">
      <w:pPr>
        <w:pStyle w:val="Standard"/>
        <w:spacing w:after="0" w:line="360" w:lineRule="auto"/>
        <w:ind w:firstLine="709"/>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Sumado a lo anterior, se ha identificado en el Poder Judicial, que efectivamente existe vulnerabilidad cognitiva en las mujeres víctimas de la violencia intrafamiliar. A nivel geográfico, dicho flagelo se manifiesta en mayor grado en la provincia de San José, Costa Rica; a nivel etario, en mujeres entre los veintisiete hasta los treinta y cinco años, según estadísticas del Poder Judicial correspondientes a los años 2018 y 2019. Por esta razón, la presente propuesta se centrará en dichos aspectos y se desarrollará en el Juzgado Contra la Violencia Doméstica, II Circuito Judicial de San José, por ser el despacho judicial con la mayor competencia territorial y jurisdiccional.</w:t>
      </w:r>
    </w:p>
    <w:p w14:paraId="133ADC81" w14:textId="1C435041" w:rsidR="00E10342" w:rsidRDefault="00D31DDB" w:rsidP="001E3CDB">
      <w:pPr>
        <w:pStyle w:val="Standard"/>
        <w:spacing w:after="0" w:line="360" w:lineRule="auto"/>
        <w:ind w:firstLine="709"/>
        <w:jc w:val="both"/>
      </w:pPr>
      <w:r>
        <w:rPr>
          <w:rFonts w:ascii="Times New Roman" w:eastAsia="Calibri" w:hAnsi="Times New Roman" w:cs="Times New Roman"/>
          <w:bCs/>
          <w:sz w:val="24"/>
          <w:szCs w:val="24"/>
          <w:lang w:val="es-SV"/>
        </w:rPr>
        <w:t>De esta manera, con</w:t>
      </w:r>
      <w:r w:rsidR="00C218FD">
        <w:rPr>
          <w:rFonts w:ascii="Times New Roman" w:eastAsia="Calibri" w:hAnsi="Times New Roman" w:cs="Times New Roman"/>
          <w:bCs/>
          <w:sz w:val="24"/>
          <w:szCs w:val="24"/>
          <w:lang w:val="es-SV"/>
        </w:rPr>
        <w:t xml:space="preserve"> este </w:t>
      </w:r>
      <w:r>
        <w:rPr>
          <w:rFonts w:ascii="Times New Roman" w:eastAsia="Calibri" w:hAnsi="Times New Roman" w:cs="Times New Roman"/>
          <w:bCs/>
          <w:sz w:val="24"/>
          <w:szCs w:val="24"/>
          <w:lang w:val="es-SV"/>
        </w:rPr>
        <w:t>trabajo final de graduación, se pretende aportar al conocimiento en cuanto a las vulnerabilidades cognitivas emergentes en el ciclo de violencia intrafamiliar en el cual esté involucrada una mujer de edad entre los veintisiete y treinta y cinco años, en la provincia de San José.</w:t>
      </w:r>
      <w:r w:rsidR="005F159A">
        <w:rPr>
          <w:rFonts w:ascii="Times New Roman" w:eastAsia="Calibri" w:hAnsi="Times New Roman" w:cs="Times New Roman"/>
          <w:bCs/>
          <w:sz w:val="24"/>
          <w:szCs w:val="24"/>
          <w:lang w:val="es-SV"/>
        </w:rPr>
        <w:t xml:space="preserve"> </w:t>
      </w:r>
      <w:r>
        <w:rPr>
          <w:rFonts w:ascii="Times New Roman" w:eastAsia="Calibri" w:hAnsi="Times New Roman" w:cs="Times New Roman"/>
          <w:bCs/>
          <w:sz w:val="24"/>
          <w:szCs w:val="24"/>
          <w:lang w:val="es-SV"/>
        </w:rPr>
        <w:t xml:space="preserve">A la vez, se busca brindar herramientas para reducir el fenómeno de la revictimización durante el proceso de atención judicial. Esto, a partir de la sensibilización institucional por medio de la realización de un taller en relación con la importancia de la detección de las vulnerabilidades cognitivas y su posible abordaje </w:t>
      </w:r>
      <w:r>
        <w:rPr>
          <w:rFonts w:ascii="Times New Roman" w:eastAsia="Calibri" w:hAnsi="Times New Roman" w:cs="Times New Roman"/>
          <w:bCs/>
          <w:sz w:val="24"/>
          <w:szCs w:val="24"/>
          <w:lang w:val="es-SV"/>
        </w:rPr>
        <w:lastRenderedPageBreak/>
        <w:t>temprano por profesionales de otras disciplinas, tales como psicólogos y trabajadores sociales.</w:t>
      </w:r>
    </w:p>
    <w:p w14:paraId="5429F012" w14:textId="19122F5F" w:rsidR="00E10342" w:rsidRDefault="00D31DDB" w:rsidP="001E3CDB">
      <w:pPr>
        <w:pStyle w:val="Standard"/>
        <w:spacing w:after="0" w:line="360" w:lineRule="auto"/>
        <w:ind w:firstLine="709"/>
        <w:jc w:val="both"/>
      </w:pPr>
      <w:r>
        <w:rPr>
          <w:rFonts w:ascii="Times New Roman" w:hAnsi="Times New Roman" w:cs="Times New Roman"/>
          <w:bCs/>
          <w:sz w:val="24"/>
          <w:szCs w:val="24"/>
        </w:rPr>
        <w:t>De tal forma que necesariamente debe discernirse entre discapacidad intelectual y vulnerabilidad cognitiva</w:t>
      </w:r>
      <w:r w:rsidR="005F159A">
        <w:rPr>
          <w:rFonts w:ascii="Times New Roman" w:hAnsi="Times New Roman" w:cs="Times New Roman"/>
          <w:bCs/>
          <w:sz w:val="24"/>
          <w:szCs w:val="24"/>
        </w:rPr>
        <w:t xml:space="preserve"> </w:t>
      </w:r>
      <w:r>
        <w:rPr>
          <w:rFonts w:ascii="Times New Roman" w:hAnsi="Times New Roman" w:cs="Times New Roman"/>
          <w:bCs/>
          <w:sz w:val="24"/>
          <w:szCs w:val="24"/>
        </w:rPr>
        <w:t>en aras de brindar protección efectiva y eficiente según corresponda, en la</w:t>
      </w:r>
      <w:r w:rsidR="005F159A">
        <w:rPr>
          <w:rFonts w:ascii="Times New Roman" w:hAnsi="Times New Roman" w:cs="Times New Roman"/>
          <w:bCs/>
          <w:sz w:val="24"/>
          <w:szCs w:val="24"/>
        </w:rPr>
        <w:t xml:space="preserve"> </w:t>
      </w:r>
      <w:r>
        <w:rPr>
          <w:rFonts w:ascii="Times New Roman" w:hAnsi="Times New Roman" w:cs="Times New Roman"/>
          <w:bCs/>
          <w:sz w:val="24"/>
          <w:szCs w:val="24"/>
        </w:rPr>
        <w:t>Administración de Justicia, situación que como se ha indicado no se efectúa a la fecha, no porque no se desee sino porque no existe claridad entre vulnerabilidad cognitiva y discapacidad intelectual.</w:t>
      </w:r>
    </w:p>
    <w:p w14:paraId="67EBBDA6" w14:textId="74EB549F" w:rsidR="00E10342" w:rsidRDefault="00D31DDB" w:rsidP="001E3CD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Discernir entre discapacidad intelectual y vulnerabilidad cognitiva entonces resulta imperioso desde este nueva incursión</w:t>
      </w:r>
      <w:r w:rsidR="005F159A">
        <w:rPr>
          <w:rFonts w:ascii="Times New Roman" w:hAnsi="Times New Roman" w:cs="Times New Roman"/>
          <w:bCs/>
          <w:sz w:val="24"/>
          <w:szCs w:val="24"/>
        </w:rPr>
        <w:t xml:space="preserve"> </w:t>
      </w:r>
      <w:r>
        <w:rPr>
          <w:rFonts w:ascii="Times New Roman" w:hAnsi="Times New Roman" w:cs="Times New Roman"/>
          <w:bCs/>
          <w:sz w:val="24"/>
          <w:szCs w:val="24"/>
        </w:rPr>
        <w:t>a fin de brindar protección efectiva y eficiente según corresponda desde la Administración de Justicia, ya que</w:t>
      </w:r>
      <w:r w:rsidR="005F159A">
        <w:rPr>
          <w:rFonts w:ascii="Times New Roman" w:hAnsi="Times New Roman" w:cs="Times New Roman"/>
          <w:bCs/>
          <w:sz w:val="24"/>
          <w:szCs w:val="24"/>
        </w:rPr>
        <w:t xml:space="preserve"> </w:t>
      </w:r>
      <w:r>
        <w:rPr>
          <w:rFonts w:ascii="Times New Roman" w:hAnsi="Times New Roman" w:cs="Times New Roman"/>
          <w:bCs/>
          <w:sz w:val="24"/>
          <w:szCs w:val="24"/>
        </w:rPr>
        <w:t>mientras que la discapacidad intelectual</w:t>
      </w:r>
      <w:r w:rsidR="005F159A">
        <w:rPr>
          <w:rFonts w:ascii="Times New Roman" w:hAnsi="Times New Roman" w:cs="Times New Roman"/>
          <w:bCs/>
          <w:sz w:val="24"/>
          <w:szCs w:val="24"/>
        </w:rPr>
        <w:t xml:space="preserve"> </w:t>
      </w:r>
      <w:r>
        <w:rPr>
          <w:rFonts w:ascii="Times New Roman" w:hAnsi="Times New Roman" w:cs="Times New Roman"/>
          <w:bCs/>
          <w:sz w:val="24"/>
          <w:szCs w:val="24"/>
        </w:rPr>
        <w:t>permea</w:t>
      </w:r>
      <w:r w:rsidR="005F159A">
        <w:rPr>
          <w:rFonts w:ascii="Times New Roman" w:hAnsi="Times New Roman" w:cs="Times New Roman"/>
          <w:bCs/>
          <w:sz w:val="24"/>
          <w:szCs w:val="24"/>
        </w:rPr>
        <w:t xml:space="preserve"> </w:t>
      </w:r>
      <w:r>
        <w:rPr>
          <w:rFonts w:ascii="Times New Roman" w:hAnsi="Times New Roman" w:cs="Times New Roman"/>
          <w:bCs/>
          <w:sz w:val="24"/>
          <w:szCs w:val="24"/>
        </w:rPr>
        <w:t>la inteligencia desde el desarrollo de los individuos de una determinada sociedad y la misma debe</w:t>
      </w:r>
      <w:r w:rsidR="005F159A">
        <w:rPr>
          <w:rFonts w:ascii="Times New Roman" w:hAnsi="Times New Roman" w:cs="Times New Roman"/>
          <w:bCs/>
          <w:sz w:val="24"/>
          <w:szCs w:val="24"/>
        </w:rPr>
        <w:t xml:space="preserve"> </w:t>
      </w:r>
      <w:r>
        <w:rPr>
          <w:rFonts w:ascii="Times New Roman" w:hAnsi="Times New Roman" w:cs="Times New Roman"/>
          <w:bCs/>
          <w:sz w:val="24"/>
          <w:szCs w:val="24"/>
        </w:rPr>
        <w:t>buscar la forma de abordarlos y tratarlos,</w:t>
      </w:r>
      <w:r w:rsidR="005F159A">
        <w:rPr>
          <w:rFonts w:ascii="Times New Roman" w:hAnsi="Times New Roman" w:cs="Times New Roman"/>
          <w:bCs/>
          <w:sz w:val="24"/>
          <w:szCs w:val="24"/>
        </w:rPr>
        <w:t xml:space="preserve"> </w:t>
      </w:r>
      <w:r>
        <w:rPr>
          <w:rFonts w:ascii="Times New Roman" w:hAnsi="Times New Roman" w:cs="Times New Roman"/>
          <w:bCs/>
          <w:sz w:val="24"/>
          <w:szCs w:val="24"/>
        </w:rPr>
        <w:t>la vulnerabilidad cognitiva no se relaciona de forma alguna con la inteligencia</w:t>
      </w:r>
      <w:r w:rsidR="005F159A">
        <w:rPr>
          <w:rFonts w:ascii="Times New Roman" w:hAnsi="Times New Roman" w:cs="Times New Roman"/>
          <w:bCs/>
          <w:sz w:val="24"/>
          <w:szCs w:val="24"/>
        </w:rPr>
        <w:t xml:space="preserve"> </w:t>
      </w:r>
      <w:r>
        <w:rPr>
          <w:rFonts w:ascii="Times New Roman" w:hAnsi="Times New Roman" w:cs="Times New Roman"/>
          <w:bCs/>
          <w:sz w:val="24"/>
          <w:szCs w:val="24"/>
        </w:rPr>
        <w:t>sino más bien,</w:t>
      </w:r>
      <w:r w:rsidR="005F159A">
        <w:rPr>
          <w:rFonts w:ascii="Times New Roman" w:hAnsi="Times New Roman" w:cs="Times New Roman"/>
          <w:bCs/>
          <w:sz w:val="24"/>
          <w:szCs w:val="24"/>
        </w:rPr>
        <w:t xml:space="preserve"> </w:t>
      </w:r>
      <w:r>
        <w:rPr>
          <w:rFonts w:ascii="Times New Roman" w:hAnsi="Times New Roman" w:cs="Times New Roman"/>
          <w:bCs/>
          <w:sz w:val="24"/>
          <w:szCs w:val="24"/>
        </w:rPr>
        <w:t>con el compromiso en cuanto a las habilidades cognitivas que las víctimas de violencia doméstica o intrafamiliar experimentan ante la exposición a la violencia y que les pudiese provocar el stress, la depresión, la dependencia económica y emocional.</w:t>
      </w:r>
    </w:p>
    <w:p w14:paraId="59D784B6" w14:textId="539DBDCB" w:rsidR="00E10342" w:rsidRDefault="00D31DDB" w:rsidP="001E3CD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Distinción valiosa para que el Estado costarricense conozca y reconozca la existencia de la vulnerabilidad cognitiva como distinta a la discapacidad intelectual</w:t>
      </w:r>
      <w:r w:rsidR="005F159A">
        <w:rPr>
          <w:rFonts w:ascii="Times New Roman" w:hAnsi="Times New Roman" w:cs="Times New Roman"/>
          <w:bCs/>
          <w:sz w:val="24"/>
          <w:szCs w:val="24"/>
        </w:rPr>
        <w:t xml:space="preserve"> </w:t>
      </w:r>
      <w:r w:rsidR="0055773C">
        <w:rPr>
          <w:rFonts w:ascii="Times New Roman" w:hAnsi="Times New Roman" w:cs="Times New Roman"/>
          <w:bCs/>
          <w:sz w:val="24"/>
          <w:szCs w:val="24"/>
        </w:rPr>
        <w:t xml:space="preserve">y </w:t>
      </w:r>
      <w:proofErr w:type="gramStart"/>
      <w:r w:rsidR="0055773C">
        <w:rPr>
          <w:rFonts w:ascii="Times New Roman" w:hAnsi="Times New Roman" w:cs="Times New Roman"/>
          <w:bCs/>
          <w:sz w:val="24"/>
          <w:szCs w:val="24"/>
        </w:rPr>
        <w:t>le</w:t>
      </w:r>
      <w:proofErr w:type="gramEnd"/>
      <w:r>
        <w:rPr>
          <w:rFonts w:ascii="Times New Roman" w:hAnsi="Times New Roman" w:cs="Times New Roman"/>
          <w:bCs/>
          <w:sz w:val="24"/>
          <w:szCs w:val="24"/>
        </w:rPr>
        <w:t xml:space="preserve"> brinde</w:t>
      </w:r>
      <w:r w:rsidR="005F159A">
        <w:rPr>
          <w:rFonts w:ascii="Times New Roman" w:hAnsi="Times New Roman" w:cs="Times New Roman"/>
          <w:bCs/>
          <w:sz w:val="24"/>
          <w:szCs w:val="24"/>
        </w:rPr>
        <w:t xml:space="preserve"> </w:t>
      </w:r>
      <w:r>
        <w:rPr>
          <w:rFonts w:ascii="Times New Roman" w:hAnsi="Times New Roman" w:cs="Times New Roman"/>
          <w:bCs/>
          <w:sz w:val="24"/>
          <w:szCs w:val="24"/>
        </w:rPr>
        <w:t>a las víctimas seguimiento una efectiva protección así como empoderamiento en las instituciones públicas identificadas para tal fin</w:t>
      </w:r>
      <w:r w:rsidR="005F159A">
        <w:rPr>
          <w:rFonts w:ascii="Times New Roman" w:hAnsi="Times New Roman" w:cs="Times New Roman"/>
          <w:bCs/>
          <w:sz w:val="24"/>
          <w:szCs w:val="24"/>
        </w:rPr>
        <w:t xml:space="preserve"> </w:t>
      </w:r>
      <w:r>
        <w:rPr>
          <w:rFonts w:ascii="Times New Roman" w:hAnsi="Times New Roman" w:cs="Times New Roman"/>
          <w:bCs/>
          <w:sz w:val="24"/>
          <w:szCs w:val="24"/>
        </w:rPr>
        <w:t>(IMAS, PANI, CCSS, INAMU, Oficina de la Mujer, etc.).</w:t>
      </w:r>
      <w:r w:rsidR="001768B3">
        <w:rPr>
          <w:rFonts w:ascii="Times New Roman" w:hAnsi="Times New Roman" w:cs="Times New Roman"/>
          <w:bCs/>
          <w:sz w:val="24"/>
          <w:szCs w:val="24"/>
        </w:rPr>
        <w:t xml:space="preserve"> </w:t>
      </w:r>
      <w:r>
        <w:rPr>
          <w:rFonts w:ascii="Times New Roman" w:hAnsi="Times New Roman" w:cs="Times New Roman"/>
          <w:bCs/>
          <w:sz w:val="24"/>
          <w:szCs w:val="24"/>
        </w:rPr>
        <w:t>Con el objetivo de brindar un adecuado cumplimiento de la normativa nacional e internacional, en aras de dignificar la vida de nuestras mujeres de forma efectiva</w:t>
      </w:r>
      <w:bookmarkStart w:id="10" w:name="_Toc45205373"/>
      <w:r w:rsidR="002C0E44">
        <w:rPr>
          <w:rFonts w:ascii="Times New Roman" w:hAnsi="Times New Roman" w:cs="Times New Roman"/>
          <w:bCs/>
          <w:sz w:val="24"/>
          <w:szCs w:val="24"/>
        </w:rPr>
        <w:t>.</w:t>
      </w:r>
    </w:p>
    <w:p w14:paraId="30A460BA" w14:textId="77777777" w:rsidR="002C0E44" w:rsidRDefault="002C0E44" w:rsidP="002C0E44">
      <w:pPr>
        <w:pStyle w:val="Ttulo1"/>
        <w:rPr>
          <w:szCs w:val="24"/>
        </w:rPr>
        <w:sectPr w:rsidR="002C0E44" w:rsidSect="00506621">
          <w:pgSz w:w="12240" w:h="15840"/>
          <w:pgMar w:top="1418" w:right="1418" w:bottom="1418" w:left="1418" w:header="709" w:footer="709" w:gutter="680"/>
          <w:pgNumType w:fmt="lowerRoman"/>
          <w:cols w:space="720"/>
        </w:sectPr>
      </w:pPr>
      <w:bookmarkStart w:id="11" w:name="__RefHeading__27425_1894434827"/>
      <w:bookmarkStart w:id="12" w:name="_Toc61276965"/>
    </w:p>
    <w:p w14:paraId="7BFDDFEB" w14:textId="04223DAA" w:rsidR="00E10342" w:rsidRPr="00EA675B" w:rsidRDefault="00D31DDB" w:rsidP="00EA675B">
      <w:pPr>
        <w:pStyle w:val="Ttulo1"/>
      </w:pPr>
      <w:bookmarkStart w:id="13" w:name="_Toc62463314"/>
      <w:bookmarkStart w:id="14" w:name="_Toc62476050"/>
      <w:bookmarkStart w:id="15" w:name="_Toc62476256"/>
      <w:bookmarkStart w:id="16" w:name="_Toc63688923"/>
      <w:r w:rsidRPr="00EA675B">
        <w:lastRenderedPageBreak/>
        <w:t>Capítulo I</w:t>
      </w:r>
      <w:bookmarkEnd w:id="11"/>
      <w:bookmarkEnd w:id="12"/>
      <w:bookmarkEnd w:id="13"/>
      <w:bookmarkEnd w:id="14"/>
      <w:bookmarkEnd w:id="15"/>
      <w:bookmarkEnd w:id="16"/>
    </w:p>
    <w:p w14:paraId="496991F2" w14:textId="6BF9FDF9" w:rsidR="00E10342" w:rsidRDefault="00D31DDB" w:rsidP="00EA675B">
      <w:pPr>
        <w:pStyle w:val="Ttulo2"/>
      </w:pPr>
      <w:bookmarkStart w:id="17" w:name="__RefHeading__27427_1894434827"/>
      <w:bookmarkStart w:id="18" w:name="_Toc61276966"/>
      <w:bookmarkStart w:id="19" w:name="_Toc45205374"/>
      <w:bookmarkStart w:id="20" w:name="_Toc62463315"/>
      <w:bookmarkStart w:id="21" w:name="_Toc62476051"/>
      <w:bookmarkStart w:id="22" w:name="_Toc62476257"/>
      <w:bookmarkStart w:id="23" w:name="_Toc63688924"/>
      <w:bookmarkEnd w:id="10"/>
      <w:r>
        <w:t>1.1 Introducción</w:t>
      </w:r>
      <w:bookmarkEnd w:id="17"/>
      <w:bookmarkEnd w:id="18"/>
      <w:bookmarkEnd w:id="19"/>
      <w:bookmarkEnd w:id="20"/>
      <w:bookmarkEnd w:id="21"/>
      <w:bookmarkEnd w:id="22"/>
      <w:bookmarkEnd w:id="23"/>
    </w:p>
    <w:p w14:paraId="7210D9F6" w14:textId="0CB62285" w:rsidR="00E10342" w:rsidRDefault="00D31DDB" w:rsidP="00EA675B">
      <w:pPr>
        <w:pStyle w:val="Standard"/>
        <w:spacing w:after="0" w:line="360" w:lineRule="auto"/>
        <w:ind w:firstLine="709"/>
        <w:jc w:val="both"/>
      </w:pPr>
      <w:r>
        <w:rPr>
          <w:rFonts w:ascii="Times New Roman" w:eastAsia="Calibri" w:hAnsi="Times New Roman" w:cs="Times New Roman"/>
          <w:bCs/>
          <w:sz w:val="24"/>
          <w:szCs w:val="24"/>
          <w:lang w:val="es-SV"/>
        </w:rPr>
        <w:t>El tema seleccionado hace referencia a las vulnerabilidades cognitivas presentes en las mujeres víctimas de violencia intrafamiliar, como fenómeno social complejo y generalizado en el mundo. La OMS se ha venido ocupando de registrar las cifras que dan cuenta de su crecimiento sostenido desde 1998, llegando a equipararla recientemente con una pandemia. En relación con esto, Tovar (2013), señala que es “</w:t>
      </w:r>
      <w:r>
        <w:rPr>
          <w:rFonts w:ascii="Times New Roman" w:eastAsia="Calibri" w:hAnsi="Times New Roman" w:cs="Times New Roman"/>
          <w:bCs/>
          <w:sz w:val="24"/>
          <w:szCs w:val="24"/>
        </w:rPr>
        <w:t>un problema de salud global” que alcanza ya “proporciones epidémicas” (</w:t>
      </w:r>
      <w:r>
        <w:rPr>
          <w:rFonts w:ascii="Times New Roman" w:eastAsia="Calibri" w:hAnsi="Times New Roman" w:cs="Times New Roman"/>
          <w:bCs/>
          <w:sz w:val="24"/>
          <w:szCs w:val="24"/>
          <w:lang w:val="es-SV"/>
        </w:rPr>
        <w:t>p. 1)</w:t>
      </w:r>
      <w:r>
        <w:rPr>
          <w:rFonts w:ascii="Times New Roman" w:eastAsia="Calibri" w:hAnsi="Times New Roman" w:cs="Times New Roman"/>
          <w:bCs/>
          <w:sz w:val="24"/>
          <w:szCs w:val="24"/>
        </w:rPr>
        <w:t xml:space="preserve">. Según concluye el primer informe mundial sobre esta situación, realizado por la OMS, un tercio de </w:t>
      </w:r>
      <w:proofErr w:type="gramStart"/>
      <w:r>
        <w:rPr>
          <w:rFonts w:ascii="Times New Roman" w:eastAsia="Calibri" w:hAnsi="Times New Roman" w:cs="Times New Roman"/>
          <w:bCs/>
          <w:sz w:val="24"/>
          <w:szCs w:val="24"/>
        </w:rPr>
        <w:t>mujeres</w:t>
      </w:r>
      <w:proofErr w:type="gramEnd"/>
      <w:r>
        <w:rPr>
          <w:rFonts w:ascii="Times New Roman" w:eastAsia="Calibri" w:hAnsi="Times New Roman" w:cs="Times New Roman"/>
          <w:bCs/>
          <w:sz w:val="24"/>
          <w:szCs w:val="24"/>
        </w:rPr>
        <w:t xml:space="preserve"> en el mundo se ha visto afectado.</w:t>
      </w:r>
      <w:r w:rsidR="005F159A">
        <w:rPr>
          <w:rFonts w:ascii="Times New Roman" w:eastAsia="Calibri" w:hAnsi="Times New Roman" w:cs="Times New Roman"/>
          <w:bCs/>
          <w:sz w:val="24"/>
          <w:szCs w:val="24"/>
        </w:rPr>
        <w:t xml:space="preserve"> </w:t>
      </w:r>
    </w:p>
    <w:p w14:paraId="0B86A589" w14:textId="787B2043" w:rsidR="00E10342" w:rsidRPr="00333D21" w:rsidRDefault="00D31DDB" w:rsidP="00EA675B">
      <w:pPr>
        <w:pStyle w:val="Standard"/>
        <w:spacing w:after="0" w:line="360" w:lineRule="auto"/>
        <w:ind w:firstLine="708"/>
        <w:jc w:val="both"/>
        <w:rPr>
          <w:rFonts w:ascii="Times New Roman" w:eastAsia="Calibri" w:hAnsi="Times New Roman" w:cs="Times New Roman"/>
          <w:bCs/>
          <w:sz w:val="24"/>
          <w:szCs w:val="24"/>
        </w:rPr>
      </w:pPr>
      <w:r>
        <w:rPr>
          <w:rFonts w:ascii="Times New Roman" w:eastAsia="Calibri" w:hAnsi="Times New Roman" w:cs="Times New Roman"/>
          <w:bCs/>
          <w:sz w:val="24"/>
          <w:szCs w:val="24"/>
        </w:rPr>
        <w:t>Asimismo, se puede afirmar que la violencia intrafamiliar ha demostrado un crecimiento acelerado, el cual, independientemente de la raza, la cultura, las creencias religiosas, la educación o el estrato social de sus víctimas, incide negativamente en la integridad física, sexual, psicológica o patrimonial</w:t>
      </w:r>
      <w:r w:rsidRPr="00333D21">
        <w:rPr>
          <w:rFonts w:ascii="Times New Roman" w:eastAsia="Calibri" w:hAnsi="Times New Roman" w:cs="Times New Roman"/>
          <w:bCs/>
          <w:sz w:val="24"/>
          <w:szCs w:val="24"/>
        </w:rPr>
        <w:t>.</w:t>
      </w:r>
    </w:p>
    <w:p w14:paraId="4EE7C751" w14:textId="220D1A26" w:rsidR="00995286" w:rsidRPr="00333D21" w:rsidRDefault="00995286" w:rsidP="00995286">
      <w:pPr>
        <w:pStyle w:val="Standard"/>
        <w:spacing w:after="0" w:line="360" w:lineRule="auto"/>
        <w:ind w:firstLine="708"/>
        <w:jc w:val="both"/>
        <w:rPr>
          <w:rFonts w:ascii="Times New Roman" w:eastAsia="Calibri" w:hAnsi="Times New Roman" w:cs="Times New Roman"/>
          <w:bCs/>
          <w:sz w:val="24"/>
          <w:szCs w:val="24"/>
        </w:rPr>
      </w:pPr>
      <w:r w:rsidRPr="00333D21">
        <w:rPr>
          <w:rFonts w:ascii="Times New Roman" w:eastAsia="Calibri" w:hAnsi="Times New Roman" w:cs="Times New Roman"/>
          <w:bCs/>
          <w:sz w:val="24"/>
          <w:szCs w:val="24"/>
        </w:rPr>
        <w:t>Desde el énfasis familiar que compete a esta investigación, las vulnerabilidades se abordan utilizando el protocolo de atención a víctimas en los Juzgados de Violencia Doméstica</w:t>
      </w:r>
      <w:r w:rsidR="00813877" w:rsidRPr="00333D21">
        <w:rPr>
          <w:rFonts w:ascii="Times New Roman" w:eastAsia="Calibri" w:hAnsi="Times New Roman" w:cs="Times New Roman"/>
          <w:bCs/>
          <w:sz w:val="24"/>
          <w:szCs w:val="24"/>
        </w:rPr>
        <w:t>,</w:t>
      </w:r>
      <w:r w:rsidRPr="00333D21">
        <w:rPr>
          <w:rFonts w:ascii="Times New Roman" w:eastAsia="Calibri" w:hAnsi="Times New Roman" w:cs="Times New Roman"/>
          <w:bCs/>
          <w:sz w:val="24"/>
          <w:szCs w:val="24"/>
        </w:rPr>
        <w:t xml:space="preserve"> el cual busca unificar las formas de actuación de quienes laboran en distintas instancias judiciales</w:t>
      </w:r>
      <w:r w:rsidR="00813877" w:rsidRPr="00333D21">
        <w:rPr>
          <w:rFonts w:ascii="Times New Roman" w:eastAsia="Calibri" w:hAnsi="Times New Roman" w:cs="Times New Roman"/>
          <w:bCs/>
          <w:sz w:val="24"/>
          <w:szCs w:val="24"/>
        </w:rPr>
        <w:t>,</w:t>
      </w:r>
      <w:r w:rsidRPr="00333D21">
        <w:rPr>
          <w:rFonts w:ascii="Times New Roman" w:eastAsia="Calibri" w:hAnsi="Times New Roman" w:cs="Times New Roman"/>
          <w:bCs/>
          <w:sz w:val="24"/>
          <w:szCs w:val="24"/>
        </w:rPr>
        <w:t xml:space="preserve"> encargadas de la atención a personas que han sufrido violencia intrafamiliar</w:t>
      </w:r>
      <w:r w:rsidR="00813877" w:rsidRPr="00333D21">
        <w:rPr>
          <w:rFonts w:ascii="Times New Roman" w:eastAsia="Calibri" w:hAnsi="Times New Roman" w:cs="Times New Roman"/>
          <w:bCs/>
          <w:sz w:val="24"/>
          <w:szCs w:val="24"/>
        </w:rPr>
        <w:t>,</w:t>
      </w:r>
      <w:r w:rsidRPr="00333D21">
        <w:rPr>
          <w:rFonts w:ascii="Times New Roman" w:eastAsia="Calibri" w:hAnsi="Times New Roman" w:cs="Times New Roman"/>
          <w:bCs/>
          <w:sz w:val="24"/>
          <w:szCs w:val="24"/>
        </w:rPr>
        <w:t xml:space="preserve"> para disminuir su revictimización que resulta ser de aplicación obligatoria para todo operador jurídico al contener reglas prácticas para su aplicación.</w:t>
      </w:r>
    </w:p>
    <w:p w14:paraId="020EAF11" w14:textId="137C7BDD" w:rsidR="00E10342" w:rsidRDefault="00D31DDB" w:rsidP="00EA675B">
      <w:pPr>
        <w:pStyle w:val="Standard"/>
        <w:spacing w:after="0" w:line="360" w:lineRule="auto"/>
        <w:ind w:firstLine="708"/>
        <w:jc w:val="both"/>
      </w:pPr>
      <w:r>
        <w:rPr>
          <w:rFonts w:ascii="Times New Roman" w:eastAsia="Calibri" w:hAnsi="Times New Roman" w:cs="Times New Roman"/>
          <w:bCs/>
          <w:sz w:val="24"/>
          <w:szCs w:val="24"/>
        </w:rPr>
        <w:t xml:space="preserve">A partir de lo expuesto, el presente trabajo tiene como propósito identificar y evidenciar las vulnerabilidades cognitivas existentes en las mujeres víctimas de violencia intrafamiliar en edades comprendidas entre </w:t>
      </w:r>
      <w:r>
        <w:rPr>
          <w:rFonts w:ascii="Times New Roman" w:eastAsia="Calibri" w:hAnsi="Times New Roman" w:cs="Times New Roman"/>
          <w:bCs/>
          <w:sz w:val="24"/>
          <w:szCs w:val="24"/>
          <w:lang w:val="es-SV"/>
        </w:rPr>
        <w:t>los veintisiete y los treinta y cinco años, para lo cual se ha seleccionado como referente empírico organizacional</w:t>
      </w:r>
      <w:r>
        <w:rPr>
          <w:rFonts w:ascii="Times New Roman" w:eastAsia="Calibri" w:hAnsi="Times New Roman" w:cs="Times New Roman"/>
          <w:bCs/>
          <w:sz w:val="24"/>
          <w:szCs w:val="24"/>
        </w:rPr>
        <w:t xml:space="preserve"> e</w:t>
      </w:r>
      <w:r>
        <w:rPr>
          <w:rFonts w:ascii="Times New Roman" w:eastAsia="Calibri" w:hAnsi="Times New Roman" w:cs="Times New Roman"/>
          <w:bCs/>
          <w:sz w:val="24"/>
          <w:szCs w:val="24"/>
          <w:lang w:val="es-SV"/>
        </w:rPr>
        <w:t>l Juzgado Contra la Violencia Doméstica del II Circuito Judicial de San José, por ser el despacho judicial con la mayor competencia territorial y jurisdiccional en dicha provincia.</w:t>
      </w:r>
    </w:p>
    <w:p w14:paraId="697D416B" w14:textId="3E778022" w:rsidR="00E10342" w:rsidRDefault="00D31DDB" w:rsidP="00EA675B">
      <w:pPr>
        <w:pStyle w:val="Standard"/>
        <w:tabs>
          <w:tab w:val="left" w:pos="709"/>
        </w:tabs>
        <w:spacing w:after="0" w:line="360" w:lineRule="auto"/>
        <w:ind w:firstLine="709"/>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 xml:space="preserve">En detalle, incluye un primer capítulo en el cual se evidencia la delimitación y formulación del tema por investigar, destacando su estado contextual y diagnóstico, así como su delimitación temporal, espacial y organizativa, y la vinculación con la naturaleza de la maestría, a saber, la Administración de la Justicia. </w:t>
      </w:r>
      <w:r w:rsidR="00BA60B9">
        <w:rPr>
          <w:rFonts w:ascii="Times New Roman" w:eastAsia="Calibri" w:hAnsi="Times New Roman" w:cs="Times New Roman"/>
          <w:bCs/>
          <w:sz w:val="24"/>
          <w:szCs w:val="24"/>
          <w:lang w:val="es-SV"/>
        </w:rPr>
        <w:t>U</w:t>
      </w:r>
      <w:r>
        <w:rPr>
          <w:rFonts w:ascii="Times New Roman" w:eastAsia="Calibri" w:hAnsi="Times New Roman" w:cs="Times New Roman"/>
          <w:bCs/>
          <w:sz w:val="24"/>
          <w:szCs w:val="24"/>
          <w:lang w:val="es-SV"/>
        </w:rPr>
        <w:t>n segundo capítulo que</w:t>
      </w:r>
      <w:r w:rsidR="0055773C">
        <w:rPr>
          <w:rFonts w:ascii="Times New Roman" w:eastAsia="Calibri" w:hAnsi="Times New Roman" w:cs="Times New Roman"/>
          <w:bCs/>
          <w:sz w:val="24"/>
          <w:szCs w:val="24"/>
          <w:lang w:val="es-SV"/>
        </w:rPr>
        <w:t xml:space="preserve"> abarca</w:t>
      </w:r>
      <w:r>
        <w:rPr>
          <w:rFonts w:ascii="Times New Roman" w:eastAsia="Calibri" w:hAnsi="Times New Roman" w:cs="Times New Roman"/>
          <w:bCs/>
          <w:sz w:val="24"/>
          <w:szCs w:val="24"/>
          <w:lang w:val="es-SV"/>
        </w:rPr>
        <w:t xml:space="preserve"> la construcción del objeto socio-jurídico, la problematización del objeto y los objetivos.</w:t>
      </w:r>
      <w:r w:rsidR="00BA60B9">
        <w:rPr>
          <w:rFonts w:ascii="Times New Roman" w:eastAsia="Calibri" w:hAnsi="Times New Roman" w:cs="Times New Roman"/>
          <w:bCs/>
          <w:sz w:val="24"/>
          <w:szCs w:val="24"/>
        </w:rPr>
        <w:t xml:space="preserve"> </w:t>
      </w:r>
      <w:r w:rsidR="001768B3">
        <w:rPr>
          <w:rFonts w:ascii="Times New Roman" w:eastAsia="Calibri" w:hAnsi="Times New Roman" w:cs="Times New Roman"/>
          <w:bCs/>
          <w:sz w:val="24"/>
          <w:szCs w:val="24"/>
        </w:rPr>
        <w:lastRenderedPageBreak/>
        <w:tab/>
      </w:r>
      <w:r>
        <w:rPr>
          <w:rFonts w:ascii="Times New Roman" w:eastAsia="Calibri" w:hAnsi="Times New Roman" w:cs="Times New Roman"/>
          <w:bCs/>
          <w:sz w:val="24"/>
          <w:szCs w:val="24"/>
          <w:lang w:val="es-SV"/>
        </w:rPr>
        <w:t xml:space="preserve">Continuando con un tercer capítulo que hace alusión a las diversas </w:t>
      </w:r>
      <w:r w:rsidR="00811FCF">
        <w:rPr>
          <w:rFonts w:ascii="Times New Roman" w:eastAsia="Calibri" w:hAnsi="Times New Roman" w:cs="Times New Roman"/>
          <w:bCs/>
          <w:sz w:val="24"/>
          <w:szCs w:val="24"/>
          <w:lang w:val="es-SV"/>
        </w:rPr>
        <w:t>teorías</w:t>
      </w:r>
      <w:r>
        <w:rPr>
          <w:rFonts w:ascii="Times New Roman" w:eastAsia="Calibri" w:hAnsi="Times New Roman" w:cs="Times New Roman"/>
          <w:bCs/>
          <w:sz w:val="24"/>
          <w:szCs w:val="24"/>
          <w:lang w:val="es-SV"/>
        </w:rPr>
        <w:t xml:space="preserve"> y abordajes científicos y </w:t>
      </w:r>
      <w:r w:rsidR="0055773C">
        <w:rPr>
          <w:rFonts w:ascii="Times New Roman" w:eastAsia="Calibri" w:hAnsi="Times New Roman" w:cs="Times New Roman"/>
          <w:bCs/>
          <w:sz w:val="24"/>
          <w:szCs w:val="24"/>
          <w:lang w:val="es-SV"/>
        </w:rPr>
        <w:t>sociales,</w:t>
      </w:r>
      <w:r>
        <w:rPr>
          <w:rFonts w:ascii="Times New Roman" w:eastAsia="Calibri" w:hAnsi="Times New Roman" w:cs="Times New Roman"/>
          <w:bCs/>
          <w:sz w:val="24"/>
          <w:szCs w:val="24"/>
          <w:lang w:val="es-SV"/>
        </w:rPr>
        <w:t xml:space="preserve"> así como teorías que orientan y permiten acercarse a conocer el fenómeno de estudio.</w:t>
      </w:r>
      <w:r w:rsidR="005F159A">
        <w:rPr>
          <w:rFonts w:ascii="Times New Roman" w:eastAsia="Calibri" w:hAnsi="Times New Roman" w:cs="Times New Roman"/>
          <w:bCs/>
          <w:sz w:val="24"/>
          <w:szCs w:val="24"/>
          <w:lang w:val="es-SV"/>
        </w:rPr>
        <w:t xml:space="preserve"> </w:t>
      </w:r>
      <w:r>
        <w:rPr>
          <w:rFonts w:ascii="Times New Roman" w:eastAsia="Calibri" w:hAnsi="Times New Roman" w:cs="Times New Roman"/>
          <w:bCs/>
          <w:sz w:val="24"/>
          <w:szCs w:val="24"/>
          <w:lang w:val="es-SV"/>
        </w:rPr>
        <w:t xml:space="preserve">Así mismo de </w:t>
      </w:r>
      <w:r w:rsidR="00811FCF">
        <w:rPr>
          <w:rFonts w:ascii="Times New Roman" w:eastAsia="Calibri" w:hAnsi="Times New Roman" w:cs="Times New Roman"/>
          <w:bCs/>
          <w:sz w:val="24"/>
          <w:szCs w:val="24"/>
          <w:lang w:val="es-SV"/>
        </w:rPr>
        <w:t>dispuso un</w:t>
      </w:r>
      <w:r>
        <w:rPr>
          <w:rFonts w:ascii="Times New Roman" w:eastAsia="Calibri" w:hAnsi="Times New Roman" w:cs="Times New Roman"/>
          <w:bCs/>
          <w:sz w:val="24"/>
          <w:szCs w:val="24"/>
          <w:lang w:val="es-SV"/>
        </w:rPr>
        <w:t xml:space="preserve"> cua</w:t>
      </w:r>
      <w:r w:rsidR="0055773C">
        <w:rPr>
          <w:rFonts w:ascii="Times New Roman" w:eastAsia="Calibri" w:hAnsi="Times New Roman" w:cs="Times New Roman"/>
          <w:bCs/>
          <w:sz w:val="24"/>
          <w:szCs w:val="24"/>
          <w:lang w:val="es-SV"/>
        </w:rPr>
        <w:t>r</w:t>
      </w:r>
      <w:r>
        <w:rPr>
          <w:rFonts w:ascii="Times New Roman" w:eastAsia="Calibri" w:hAnsi="Times New Roman" w:cs="Times New Roman"/>
          <w:bCs/>
          <w:sz w:val="24"/>
          <w:szCs w:val="24"/>
          <w:lang w:val="es-SV"/>
        </w:rPr>
        <w:t xml:space="preserve">to capítulo </w:t>
      </w:r>
      <w:r w:rsidR="00811FCF">
        <w:rPr>
          <w:rFonts w:ascii="Times New Roman" w:eastAsia="Calibri" w:hAnsi="Times New Roman" w:cs="Times New Roman"/>
          <w:bCs/>
          <w:sz w:val="24"/>
          <w:szCs w:val="24"/>
          <w:lang w:val="es-SV"/>
        </w:rPr>
        <w:t>donde se evidencia la metodología de este</w:t>
      </w:r>
      <w:r w:rsidR="005F159A">
        <w:rPr>
          <w:rFonts w:ascii="Times New Roman" w:eastAsia="Calibri" w:hAnsi="Times New Roman" w:cs="Times New Roman"/>
          <w:bCs/>
          <w:sz w:val="24"/>
          <w:szCs w:val="24"/>
          <w:lang w:val="es-SV"/>
        </w:rPr>
        <w:t xml:space="preserve"> </w:t>
      </w:r>
      <w:r>
        <w:rPr>
          <w:rFonts w:ascii="Times New Roman" w:eastAsia="Calibri" w:hAnsi="Times New Roman" w:cs="Times New Roman"/>
          <w:bCs/>
          <w:sz w:val="24"/>
          <w:szCs w:val="24"/>
          <w:lang w:val="es-SV"/>
        </w:rPr>
        <w:t>estudio de la vulnerabilidad cognitiva en las</w:t>
      </w:r>
      <w:r w:rsidR="005F159A">
        <w:rPr>
          <w:rFonts w:ascii="Times New Roman" w:eastAsia="Calibri" w:hAnsi="Times New Roman" w:cs="Times New Roman"/>
          <w:bCs/>
          <w:sz w:val="24"/>
          <w:szCs w:val="24"/>
          <w:lang w:val="es-SV"/>
        </w:rPr>
        <w:t xml:space="preserve"> </w:t>
      </w:r>
      <w:r>
        <w:rPr>
          <w:rFonts w:ascii="Times New Roman" w:eastAsia="Calibri" w:hAnsi="Times New Roman" w:cs="Times New Roman"/>
          <w:bCs/>
          <w:sz w:val="24"/>
          <w:szCs w:val="24"/>
          <w:lang w:val="es-SV"/>
        </w:rPr>
        <w:t xml:space="preserve">mujeres víctimas de violencia intrafamiliar que ostenten edades entre los 27 y 35 </w:t>
      </w:r>
      <w:proofErr w:type="gramStart"/>
      <w:r>
        <w:rPr>
          <w:rFonts w:ascii="Times New Roman" w:eastAsia="Calibri" w:hAnsi="Times New Roman" w:cs="Times New Roman"/>
          <w:bCs/>
          <w:sz w:val="24"/>
          <w:szCs w:val="24"/>
          <w:lang w:val="es-SV"/>
        </w:rPr>
        <w:t>años de edad</w:t>
      </w:r>
      <w:proofErr w:type="gramEnd"/>
      <w:r>
        <w:rPr>
          <w:rFonts w:ascii="Times New Roman" w:eastAsia="Calibri" w:hAnsi="Times New Roman" w:cs="Times New Roman"/>
          <w:bCs/>
          <w:sz w:val="24"/>
          <w:szCs w:val="24"/>
          <w:lang w:val="es-SV"/>
        </w:rPr>
        <w:t xml:space="preserve"> en el Juzgado Contra la Violencia Doméstica en el Juzgado Contra la Violencia Doméstica II Circuito Judicial de San José. Lo anterior posibilita estructurar un quinto capítulo</w:t>
      </w:r>
      <w:r w:rsidR="0055773C">
        <w:rPr>
          <w:rFonts w:ascii="Times New Roman" w:eastAsia="Calibri" w:hAnsi="Times New Roman" w:cs="Times New Roman"/>
          <w:bCs/>
          <w:sz w:val="24"/>
          <w:szCs w:val="24"/>
          <w:lang w:val="es-SV"/>
        </w:rPr>
        <w:t>,</w:t>
      </w:r>
      <w:r>
        <w:rPr>
          <w:rFonts w:ascii="Times New Roman" w:eastAsia="Calibri" w:hAnsi="Times New Roman" w:cs="Times New Roman"/>
          <w:bCs/>
          <w:sz w:val="24"/>
          <w:szCs w:val="24"/>
          <w:lang w:val="es-SV"/>
        </w:rPr>
        <w:t xml:space="preserve"> que permit</w:t>
      </w:r>
      <w:r w:rsidR="00811FCF">
        <w:rPr>
          <w:rFonts w:ascii="Times New Roman" w:eastAsia="Calibri" w:hAnsi="Times New Roman" w:cs="Times New Roman"/>
          <w:bCs/>
          <w:sz w:val="24"/>
          <w:szCs w:val="24"/>
          <w:lang w:val="es-SV"/>
        </w:rPr>
        <w:t>e</w:t>
      </w:r>
      <w:r>
        <w:rPr>
          <w:rFonts w:ascii="Times New Roman" w:eastAsia="Calibri" w:hAnsi="Times New Roman" w:cs="Times New Roman"/>
          <w:bCs/>
          <w:sz w:val="24"/>
          <w:szCs w:val="24"/>
          <w:lang w:val="es-SV"/>
        </w:rPr>
        <w:t xml:space="preserve"> conocer a cerca de los resultados obtenidos en la investigación durante tres momentos fundamentales: inserción, recolección y procesamiento de la información y </w:t>
      </w:r>
      <w:r w:rsidR="00811FCF">
        <w:rPr>
          <w:rFonts w:ascii="Times New Roman" w:eastAsia="Calibri" w:hAnsi="Times New Roman" w:cs="Times New Roman"/>
          <w:bCs/>
          <w:sz w:val="24"/>
          <w:szCs w:val="24"/>
          <w:lang w:val="es-SV"/>
        </w:rPr>
        <w:t>análisis</w:t>
      </w:r>
      <w:r>
        <w:rPr>
          <w:rFonts w:ascii="Times New Roman" w:eastAsia="Calibri" w:hAnsi="Times New Roman" w:cs="Times New Roman"/>
          <w:bCs/>
          <w:sz w:val="24"/>
          <w:szCs w:val="24"/>
          <w:lang w:val="es-SV"/>
        </w:rPr>
        <w:t xml:space="preserve"> de la información y por </w:t>
      </w:r>
      <w:r w:rsidR="00811FCF">
        <w:rPr>
          <w:rFonts w:ascii="Times New Roman" w:eastAsia="Calibri" w:hAnsi="Times New Roman" w:cs="Times New Roman"/>
          <w:bCs/>
          <w:sz w:val="24"/>
          <w:szCs w:val="24"/>
          <w:lang w:val="es-SV"/>
        </w:rPr>
        <w:t>último</w:t>
      </w:r>
      <w:r>
        <w:rPr>
          <w:rFonts w:ascii="Times New Roman" w:eastAsia="Calibri" w:hAnsi="Times New Roman" w:cs="Times New Roman"/>
          <w:bCs/>
          <w:sz w:val="24"/>
          <w:szCs w:val="24"/>
          <w:lang w:val="es-SV"/>
        </w:rPr>
        <w:t xml:space="preserve"> un sexto capítulo dedicado a las conclusiones y recomendaciones respectivas.</w:t>
      </w:r>
    </w:p>
    <w:p w14:paraId="4E6D5BFD" w14:textId="77777777" w:rsidR="00E10342" w:rsidRDefault="00D31DDB" w:rsidP="00070120">
      <w:pPr>
        <w:pStyle w:val="Ttulo2"/>
      </w:pPr>
      <w:bookmarkStart w:id="24" w:name="__RefHeading__27429_1894434827"/>
      <w:bookmarkStart w:id="25" w:name="_Toc61276967"/>
      <w:bookmarkStart w:id="26" w:name="_Toc45205375"/>
      <w:bookmarkStart w:id="27" w:name="_Toc482651150"/>
      <w:bookmarkStart w:id="28" w:name="_Toc62463316"/>
      <w:bookmarkStart w:id="29" w:name="_Toc62476052"/>
      <w:bookmarkStart w:id="30" w:name="_Toc62476258"/>
      <w:bookmarkStart w:id="31" w:name="_Toc63688925"/>
      <w:r>
        <w:t>1.2 Justificación</w:t>
      </w:r>
      <w:bookmarkEnd w:id="24"/>
      <w:bookmarkEnd w:id="25"/>
      <w:bookmarkEnd w:id="26"/>
      <w:bookmarkEnd w:id="27"/>
      <w:bookmarkEnd w:id="28"/>
      <w:bookmarkEnd w:id="29"/>
      <w:bookmarkEnd w:id="30"/>
      <w:bookmarkEnd w:id="31"/>
    </w:p>
    <w:p w14:paraId="546EC902" w14:textId="77777777" w:rsidR="00E10342" w:rsidRDefault="00D31DDB" w:rsidP="00070120">
      <w:pPr>
        <w:pStyle w:val="Standard"/>
        <w:spacing w:after="0" w:line="360" w:lineRule="auto"/>
        <w:ind w:firstLine="709"/>
        <w:jc w:val="both"/>
      </w:pPr>
      <w:r>
        <w:rPr>
          <w:rFonts w:ascii="Times New Roman" w:eastAsia="Calibri" w:hAnsi="Times New Roman" w:cs="Times New Roman"/>
          <w:bCs/>
          <w:sz w:val="24"/>
          <w:szCs w:val="24"/>
        </w:rPr>
        <w:t xml:space="preserve">El presente trabajo tiene como propósito abordar el estudio de las </w:t>
      </w:r>
      <w:r>
        <w:rPr>
          <w:rFonts w:ascii="Times New Roman" w:eastAsia="Calibri" w:hAnsi="Times New Roman" w:cs="Times New Roman"/>
          <w:bCs/>
          <w:sz w:val="24"/>
          <w:szCs w:val="24"/>
          <w:lang w:val="es-SV"/>
        </w:rPr>
        <w:t xml:space="preserve">vulnerabilidades cognitivas que presentan las mujeres víctimas de violencia intrafamiliar. </w:t>
      </w:r>
      <w:r>
        <w:rPr>
          <w:rFonts w:ascii="Times New Roman" w:eastAsia="Calibri" w:hAnsi="Times New Roman" w:cs="Times New Roman"/>
          <w:bCs/>
          <w:sz w:val="24"/>
          <w:szCs w:val="24"/>
        </w:rPr>
        <w:t xml:space="preserve">Se fundamenta en el enfoque de derechos humanos, el cual, </w:t>
      </w:r>
      <w:r>
        <w:rPr>
          <w:rFonts w:ascii="Times New Roman" w:eastAsia="Calibri" w:hAnsi="Times New Roman" w:cs="Times New Roman"/>
          <w:bCs/>
          <w:color w:val="222222"/>
          <w:sz w:val="24"/>
          <w:szCs w:val="24"/>
        </w:rPr>
        <w:t>por un lado, apunta a lo siguiente:</w:t>
      </w:r>
    </w:p>
    <w:p w14:paraId="3922323C" w14:textId="77777777" w:rsidR="00E10342" w:rsidRDefault="00D31DDB">
      <w:pPr>
        <w:pStyle w:val="Standard"/>
        <w:spacing w:after="0" w:line="360" w:lineRule="auto"/>
        <w:ind w:left="708"/>
        <w:jc w:val="both"/>
      </w:pPr>
      <w:r>
        <w:rPr>
          <w:rFonts w:ascii="Times New Roman" w:eastAsia="Calibri" w:hAnsi="Times New Roman" w:cs="Times New Roman"/>
          <w:bCs/>
          <w:color w:val="222222"/>
          <w:sz w:val="24"/>
          <w:szCs w:val="24"/>
        </w:rPr>
        <w:t>(…) desarrollar la capacidad de los garantes de derechos para cumplir con sus obligaciones, por otro lado, alienta a los titulares de derechos a reivindicarlos. En ese proceso el Estado, así como los respectivos gobiernos, tienen tres niveles de obligación: respetar, proteger y hacer cumplir cada derecho.</w:t>
      </w:r>
      <w:r>
        <w:rPr>
          <w:rFonts w:ascii="Times New Roman" w:eastAsia="Calibri" w:hAnsi="Times New Roman" w:cs="Times New Roman"/>
          <w:bCs/>
          <w:sz w:val="24"/>
          <w:szCs w:val="24"/>
        </w:rPr>
        <w:t xml:space="preserve"> (Jiménez, 2007, pp. 30-35)</w:t>
      </w:r>
    </w:p>
    <w:p w14:paraId="6FEDFFD6" w14:textId="785BCD7D" w:rsidR="00E10342" w:rsidRDefault="00D31DDB">
      <w:pPr>
        <w:pStyle w:val="Standard"/>
        <w:spacing w:after="0" w:line="360" w:lineRule="auto"/>
        <w:ind w:firstLine="708"/>
        <w:jc w:val="both"/>
      </w:pPr>
      <w:r>
        <w:rPr>
          <w:rFonts w:ascii="Times New Roman" w:eastAsia="Calibri" w:hAnsi="Times New Roman" w:cs="Times New Roman"/>
          <w:bCs/>
          <w:sz w:val="24"/>
          <w:szCs w:val="24"/>
        </w:rPr>
        <w:t>En tal sentido, la investigación será permeada por los valores y principios atinentes a lo anterior, lo cual será obtenido de los instrumentos jurídicos internacionales generales, pero principalmente de los que protegen a la mujer</w:t>
      </w:r>
      <w:r w:rsidR="00215EB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dentro de los que destacan: Convención Sobre la Eliminación de </w:t>
      </w:r>
      <w:r w:rsidR="00466686">
        <w:rPr>
          <w:rFonts w:ascii="Times New Roman" w:eastAsia="Calibri" w:hAnsi="Times New Roman" w:cs="Times New Roman"/>
          <w:bCs/>
          <w:sz w:val="24"/>
          <w:szCs w:val="24"/>
        </w:rPr>
        <w:t>T</w:t>
      </w:r>
      <w:r>
        <w:rPr>
          <w:rFonts w:ascii="Times New Roman" w:eastAsia="Calibri" w:hAnsi="Times New Roman" w:cs="Times New Roman"/>
          <w:bCs/>
          <w:sz w:val="24"/>
          <w:szCs w:val="24"/>
        </w:rPr>
        <w:t xml:space="preserve">odas las </w:t>
      </w:r>
      <w:r w:rsidR="00466686">
        <w:rPr>
          <w:rFonts w:ascii="Times New Roman" w:eastAsia="Calibri" w:hAnsi="Times New Roman" w:cs="Times New Roman"/>
          <w:bCs/>
          <w:sz w:val="24"/>
          <w:szCs w:val="24"/>
        </w:rPr>
        <w:t>F</w:t>
      </w:r>
      <w:r>
        <w:rPr>
          <w:rFonts w:ascii="Times New Roman" w:eastAsia="Calibri" w:hAnsi="Times New Roman" w:cs="Times New Roman"/>
          <w:bCs/>
          <w:sz w:val="24"/>
          <w:szCs w:val="24"/>
        </w:rPr>
        <w:t xml:space="preserve">ormas de </w:t>
      </w:r>
      <w:r w:rsidR="00466686">
        <w:rPr>
          <w:rFonts w:ascii="Times New Roman" w:eastAsia="Calibri" w:hAnsi="Times New Roman" w:cs="Times New Roman"/>
          <w:bCs/>
          <w:sz w:val="24"/>
          <w:szCs w:val="24"/>
        </w:rPr>
        <w:t>D</w:t>
      </w:r>
      <w:r>
        <w:rPr>
          <w:rFonts w:ascii="Times New Roman" w:eastAsia="Calibri" w:hAnsi="Times New Roman" w:cs="Times New Roman"/>
          <w:bCs/>
          <w:sz w:val="24"/>
          <w:szCs w:val="24"/>
        </w:rPr>
        <w:t xml:space="preserve">iscriminación contra la </w:t>
      </w:r>
      <w:r w:rsidR="00466686">
        <w:rPr>
          <w:rFonts w:ascii="Times New Roman" w:eastAsia="Calibri" w:hAnsi="Times New Roman" w:cs="Times New Roman"/>
          <w:bCs/>
          <w:sz w:val="24"/>
          <w:szCs w:val="24"/>
        </w:rPr>
        <w:t>M</w:t>
      </w:r>
      <w:r>
        <w:rPr>
          <w:rFonts w:ascii="Times New Roman" w:eastAsia="Calibri" w:hAnsi="Times New Roman" w:cs="Times New Roman"/>
          <w:bCs/>
          <w:sz w:val="24"/>
          <w:szCs w:val="24"/>
        </w:rPr>
        <w:t>ujer</w:t>
      </w:r>
      <w:r w:rsidR="00466686">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1979</w:t>
      </w:r>
      <w:r w:rsidR="00466686">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Convención</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Interamericana para Prevenir, Sancionar y Erradicar la </w:t>
      </w:r>
      <w:r w:rsidR="00A411CE">
        <w:rPr>
          <w:rFonts w:ascii="Times New Roman" w:eastAsia="Calibri" w:hAnsi="Times New Roman" w:cs="Times New Roman"/>
          <w:bCs/>
          <w:sz w:val="24"/>
          <w:szCs w:val="24"/>
        </w:rPr>
        <w:t>V</w:t>
      </w:r>
      <w:r>
        <w:rPr>
          <w:rFonts w:ascii="Times New Roman" w:eastAsia="Calibri" w:hAnsi="Times New Roman" w:cs="Times New Roman"/>
          <w:bCs/>
          <w:sz w:val="24"/>
          <w:szCs w:val="24"/>
        </w:rPr>
        <w:t xml:space="preserve">iolencia contra la mujer </w:t>
      </w:r>
      <w:r w:rsidR="00466686">
        <w:rPr>
          <w:rFonts w:ascii="Times New Roman" w:eastAsia="Calibri" w:hAnsi="Times New Roman" w:cs="Times New Roman"/>
          <w:bCs/>
          <w:sz w:val="24"/>
          <w:szCs w:val="24"/>
        </w:rPr>
        <w:t>(</w:t>
      </w:r>
      <w:r>
        <w:rPr>
          <w:rFonts w:ascii="Times New Roman" w:eastAsia="Calibri" w:hAnsi="Times New Roman" w:cs="Times New Roman"/>
          <w:bCs/>
          <w:sz w:val="24"/>
          <w:szCs w:val="24"/>
        </w:rPr>
        <w:t>1994</w:t>
      </w:r>
      <w:r w:rsidR="00466686">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Declaración y Plataforma de Acción de Beijing </w:t>
      </w:r>
      <w:r w:rsidR="00EB1F77">
        <w:rPr>
          <w:rFonts w:ascii="Times New Roman" w:eastAsia="Calibri" w:hAnsi="Times New Roman" w:cs="Times New Roman"/>
          <w:bCs/>
          <w:sz w:val="24"/>
          <w:szCs w:val="24"/>
        </w:rPr>
        <w:t>(</w:t>
      </w:r>
      <w:r>
        <w:rPr>
          <w:rFonts w:ascii="Times New Roman" w:eastAsia="Calibri" w:hAnsi="Times New Roman" w:cs="Times New Roman"/>
          <w:bCs/>
          <w:sz w:val="24"/>
          <w:szCs w:val="24"/>
        </w:rPr>
        <w:t>1995</w:t>
      </w:r>
      <w:r w:rsidR="00EB1F7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Consenso de Quito</w:t>
      </w:r>
      <w:r w:rsidR="00EB1F77">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2007</w:t>
      </w:r>
      <w:r w:rsidR="00EB1F7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Consenso de Brasilia </w:t>
      </w:r>
      <w:r w:rsidR="00EB1F77">
        <w:rPr>
          <w:rFonts w:ascii="Times New Roman" w:eastAsia="Calibri" w:hAnsi="Times New Roman" w:cs="Times New Roman"/>
          <w:bCs/>
          <w:sz w:val="24"/>
          <w:szCs w:val="24"/>
        </w:rPr>
        <w:t>(</w:t>
      </w:r>
      <w:r>
        <w:rPr>
          <w:rFonts w:ascii="Times New Roman" w:eastAsia="Calibri" w:hAnsi="Times New Roman" w:cs="Times New Roman"/>
          <w:bCs/>
          <w:sz w:val="24"/>
          <w:szCs w:val="24"/>
        </w:rPr>
        <w:t>2010</w:t>
      </w:r>
      <w:r w:rsidR="00EB1F7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y la Convención Interamericana contra toda </w:t>
      </w:r>
      <w:r w:rsidR="00EB1F77">
        <w:rPr>
          <w:rFonts w:ascii="Times New Roman" w:eastAsia="Calibri" w:hAnsi="Times New Roman" w:cs="Times New Roman"/>
          <w:bCs/>
          <w:sz w:val="24"/>
          <w:szCs w:val="24"/>
        </w:rPr>
        <w:t>F</w:t>
      </w:r>
      <w:r>
        <w:rPr>
          <w:rFonts w:ascii="Times New Roman" w:eastAsia="Calibri" w:hAnsi="Times New Roman" w:cs="Times New Roman"/>
          <w:bCs/>
          <w:sz w:val="24"/>
          <w:szCs w:val="24"/>
        </w:rPr>
        <w:t xml:space="preserve">orma de Discriminación e Intolerancia </w:t>
      </w:r>
      <w:r w:rsidR="00EB1F77">
        <w:rPr>
          <w:rFonts w:ascii="Times New Roman" w:eastAsia="Calibri" w:hAnsi="Times New Roman" w:cs="Times New Roman"/>
          <w:bCs/>
          <w:sz w:val="24"/>
          <w:szCs w:val="24"/>
        </w:rPr>
        <w:t>(</w:t>
      </w:r>
      <w:r>
        <w:rPr>
          <w:rFonts w:ascii="Times New Roman" w:eastAsia="Calibri" w:hAnsi="Times New Roman" w:cs="Times New Roman"/>
          <w:bCs/>
          <w:sz w:val="24"/>
          <w:szCs w:val="24"/>
        </w:rPr>
        <w:t>2013</w:t>
      </w:r>
      <w:r w:rsidR="00EB1F7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w:t>
      </w:r>
      <w:r w:rsidR="00510938" w:rsidRPr="00510938">
        <w:rPr>
          <w:rFonts w:ascii="Times New Roman" w:eastAsia="Calibri" w:hAnsi="Times New Roman" w:cs="Times New Roman"/>
          <w:bCs/>
          <w:sz w:val="24"/>
          <w:szCs w:val="24"/>
        </w:rPr>
        <w:t>Observatorio de la Imagen de las Mujeres en la Publicidad</w:t>
      </w:r>
      <w:r w:rsidR="00510938">
        <w:rPr>
          <w:rFonts w:ascii="Times New Roman" w:eastAsia="Calibri" w:hAnsi="Times New Roman" w:cs="Times New Roman"/>
          <w:bCs/>
          <w:sz w:val="24"/>
          <w:szCs w:val="24"/>
        </w:rPr>
        <w:t xml:space="preserve">, </w:t>
      </w:r>
      <w:r w:rsidR="00992557">
        <w:rPr>
          <w:rFonts w:ascii="Times New Roman" w:eastAsia="Calibri" w:hAnsi="Times New Roman" w:cs="Times New Roman"/>
          <w:bCs/>
          <w:sz w:val="24"/>
          <w:szCs w:val="24"/>
        </w:rPr>
        <w:t>2020</w:t>
      </w:r>
      <w:r>
        <w:rPr>
          <w:rFonts w:ascii="Times New Roman" w:eastAsia="Calibri" w:hAnsi="Times New Roman" w:cs="Times New Roman"/>
          <w:bCs/>
          <w:sz w:val="24"/>
          <w:szCs w:val="24"/>
        </w:rPr>
        <w:t>)</w:t>
      </w:r>
    </w:p>
    <w:p w14:paraId="187C9EFE" w14:textId="7450DD56" w:rsidR="00E10342" w:rsidRDefault="00D31DDB" w:rsidP="00070120">
      <w:pPr>
        <w:pStyle w:val="Standard"/>
        <w:tabs>
          <w:tab w:val="left" w:pos="709"/>
        </w:tabs>
        <w:spacing w:after="0" w:line="360" w:lineRule="auto"/>
        <w:ind w:firstLine="708"/>
        <w:jc w:val="both"/>
      </w:pPr>
      <w:bookmarkStart w:id="32" w:name="_Hlk41236974"/>
      <w:r>
        <w:rPr>
          <w:rFonts w:ascii="Times New Roman" w:eastAsia="Calibri" w:hAnsi="Times New Roman" w:cs="Times New Roman"/>
          <w:bCs/>
          <w:sz w:val="24"/>
          <w:szCs w:val="24"/>
        </w:rPr>
        <w:t>Dado lo anterior, la violencia contra la mujer es producto de la construcción social</w:t>
      </w:r>
      <w:r w:rsidR="00986017">
        <w:rPr>
          <w:rFonts w:ascii="Times New Roman" w:eastAsia="Calibri" w:hAnsi="Times New Roman" w:cs="Times New Roman"/>
          <w:bCs/>
          <w:sz w:val="24"/>
          <w:szCs w:val="24"/>
        </w:rPr>
        <w:t xml:space="preserve"> existente en</w:t>
      </w:r>
      <w:r>
        <w:rPr>
          <w:rFonts w:ascii="Times New Roman" w:eastAsia="Calibri" w:hAnsi="Times New Roman" w:cs="Times New Roman"/>
          <w:bCs/>
          <w:sz w:val="24"/>
          <w:szCs w:val="24"/>
        </w:rPr>
        <w:t xml:space="preserve"> las relaciones entre hombres y mujeres</w:t>
      </w:r>
      <w:r w:rsidR="0098601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en donde el proceso de socialización </w:t>
      </w:r>
      <w:r>
        <w:rPr>
          <w:rFonts w:ascii="Times New Roman" w:eastAsia="Calibri" w:hAnsi="Times New Roman" w:cs="Times New Roman"/>
          <w:bCs/>
          <w:sz w:val="24"/>
          <w:szCs w:val="24"/>
        </w:rPr>
        <w:lastRenderedPageBreak/>
        <w:t xml:space="preserve">tanto primaria como secundaria permea las normas sociales que deben seguir </w:t>
      </w:r>
      <w:proofErr w:type="gramStart"/>
      <w:r>
        <w:rPr>
          <w:rFonts w:ascii="Times New Roman" w:eastAsia="Calibri" w:hAnsi="Times New Roman" w:cs="Times New Roman"/>
          <w:bCs/>
          <w:sz w:val="24"/>
          <w:szCs w:val="24"/>
        </w:rPr>
        <w:t>tanto hombres</w:t>
      </w:r>
      <w:proofErr w:type="gramEnd"/>
      <w:r>
        <w:rPr>
          <w:rFonts w:ascii="Times New Roman" w:eastAsia="Calibri" w:hAnsi="Times New Roman" w:cs="Times New Roman"/>
          <w:bCs/>
          <w:sz w:val="24"/>
          <w:szCs w:val="24"/>
        </w:rPr>
        <w:t xml:space="preserve"> como mujeres. Sin embargo, estas normas son diseñadas desde la visión general de sociedad y muchas veces dejan de lado la perspectiva de género, debido a que desde el patriarcado se asume que</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las relaciones entre hombres y mujeres devienen de relaciones de poder, mismas que surgen de las relaciones entre dominación y subordinación de lo masculino sobre lo femenino, asumiendo que tal relación es tan válida en lo </w:t>
      </w:r>
      <w:r w:rsidR="00811FCF">
        <w:rPr>
          <w:rFonts w:ascii="Times New Roman" w:eastAsia="Calibri" w:hAnsi="Times New Roman" w:cs="Times New Roman"/>
          <w:bCs/>
          <w:sz w:val="24"/>
          <w:szCs w:val="24"/>
        </w:rPr>
        <w:t>público</w:t>
      </w:r>
      <w:r>
        <w:rPr>
          <w:rFonts w:ascii="Times New Roman" w:eastAsia="Calibri" w:hAnsi="Times New Roman" w:cs="Times New Roman"/>
          <w:bCs/>
          <w:sz w:val="24"/>
          <w:szCs w:val="24"/>
        </w:rPr>
        <w:t xml:space="preserve"> como en ámbito privado de la sociedad y todos sus niveles, porque de esta manera la sociedad lo ha establecido con anterioridad desde lo biológico. </w:t>
      </w:r>
      <w:r w:rsidR="00F335F0">
        <w:rPr>
          <w:rFonts w:ascii="Times New Roman" w:eastAsia="Calibri" w:hAnsi="Times New Roman" w:cs="Times New Roman"/>
          <w:bCs/>
          <w:sz w:val="24"/>
          <w:szCs w:val="24"/>
        </w:rPr>
        <w:t>(</w:t>
      </w:r>
      <w:r>
        <w:rPr>
          <w:rFonts w:ascii="Times New Roman" w:eastAsia="Calibri" w:hAnsi="Times New Roman" w:cs="Times New Roman"/>
          <w:bCs/>
          <w:sz w:val="24"/>
          <w:szCs w:val="24"/>
        </w:rPr>
        <w:t>Villarreal</w:t>
      </w:r>
      <w:r w:rsidR="00F335F0">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2003</w:t>
      </w:r>
      <w:r w:rsidR="00F335F0">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w:t>
      </w:r>
      <w:r w:rsidR="00F335F0">
        <w:rPr>
          <w:rFonts w:ascii="Times New Roman" w:eastAsia="Calibri" w:hAnsi="Times New Roman" w:cs="Times New Roman"/>
          <w:bCs/>
          <w:sz w:val="24"/>
          <w:szCs w:val="24"/>
        </w:rPr>
        <w:t>p.</w:t>
      </w:r>
      <w:r>
        <w:rPr>
          <w:rFonts w:ascii="Times New Roman" w:eastAsia="Calibri" w:hAnsi="Times New Roman" w:cs="Times New Roman"/>
          <w:bCs/>
          <w:sz w:val="24"/>
          <w:szCs w:val="24"/>
        </w:rPr>
        <w:t xml:space="preserve"> 75)</w:t>
      </w:r>
    </w:p>
    <w:p w14:paraId="7FEC3FA0" w14:textId="068B581A" w:rsidR="00E10342" w:rsidRDefault="00D31DDB" w:rsidP="00155A39">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Sin duda, es una situación más que afecta a las mujeres y que se encuentra al lado de temas de igual relevancia en los campos de la salud, la política, la educación, la economía, los que, al igual que la violencia, afectan y son producto de la marcada desigualdad entre hombres y mujeres que se conoce como género, por ser el uso de la fuerza el instrumento empleado para ejercer la dominación del victimario frente a sus víctimas, la parte vulnerable (Jiménez, 2007).</w:t>
      </w:r>
    </w:p>
    <w:p w14:paraId="2551D6A9" w14:textId="137D9005" w:rsidR="00E10342" w:rsidRDefault="00D31DDB" w:rsidP="003476F3">
      <w:pPr>
        <w:pStyle w:val="Standard"/>
        <w:spacing w:after="0" w:line="360" w:lineRule="auto"/>
        <w:ind w:firstLine="709"/>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En relación con lo anterior, interesa señalar que muchas personas alrededor del mundo, generalmente mujeres, se han interesado por estudiar la violencia intrafamiliar contra las mujeres. Esto, no solo con el fin de evidenciar el fenómeno, sino para que la violencia contra la mujer (de la cual forma parte la intrafamiliar) se reconozca como una violación a los derechos humanos, pues incide en su dignidad como persona humana. No obstante, la interpretación de simple inclusión dentro de los derechos humanos universales no es suficiente ante las condiciones y necesidades específicas de las mujeres no contenidas.</w:t>
      </w:r>
    </w:p>
    <w:p w14:paraId="4FA4DCD9" w14:textId="0FF77C7C" w:rsidR="00E10342" w:rsidRDefault="00D31DDB" w:rsidP="00155A39">
      <w:pPr>
        <w:pStyle w:val="Standard"/>
        <w:spacing w:after="0" w:line="360" w:lineRule="auto"/>
        <w:jc w:val="both"/>
      </w:pPr>
      <w:r>
        <w:rPr>
          <w:rFonts w:ascii="Times New Roman" w:eastAsia="Calibri" w:hAnsi="Times New Roman" w:cs="Times New Roman"/>
          <w:bCs/>
          <w:color w:val="000000"/>
          <w:sz w:val="24"/>
          <w:szCs w:val="24"/>
        </w:rPr>
        <w:t xml:space="preserve"> </w:t>
      </w:r>
      <w:r>
        <w:rPr>
          <w:rFonts w:ascii="Times New Roman" w:eastAsia="Calibri" w:hAnsi="Times New Roman" w:cs="Times New Roman"/>
          <w:bCs/>
          <w:color w:val="000000"/>
          <w:sz w:val="24"/>
          <w:szCs w:val="24"/>
        </w:rPr>
        <w:tab/>
        <w:t>Esta lucha por tal reconocimiento dentro de la normativa jurídica internacional tuvo sus frutos en la década de los años noventa</w:t>
      </w:r>
      <w:r>
        <w:rPr>
          <w:rFonts w:ascii="Times New Roman" w:eastAsia="Calibri" w:hAnsi="Times New Roman" w:cs="Times New Roman"/>
          <w:bCs/>
          <w:sz w:val="24"/>
          <w:szCs w:val="24"/>
        </w:rPr>
        <w:t>, específicamente en</w:t>
      </w:r>
      <w:r>
        <w:rPr>
          <w:rFonts w:ascii="Times New Roman" w:eastAsia="Calibri" w:hAnsi="Times New Roman" w:cs="Times New Roman"/>
          <w:bCs/>
          <w:sz w:val="24"/>
          <w:szCs w:val="24"/>
          <w:lang w:val="es-SV"/>
        </w:rPr>
        <w:t xml:space="preserve"> la Conferencia Mundial de Derechos Humanos, celebrada en Viena, en el año 1993, en la cual se declara que “</w:t>
      </w:r>
      <w:r>
        <w:rPr>
          <w:rFonts w:ascii="Times New Roman" w:eastAsia="Calibri" w:hAnsi="Times New Roman" w:cs="Times New Roman"/>
          <w:bCs/>
          <w:sz w:val="24"/>
          <w:szCs w:val="24"/>
        </w:rPr>
        <w:t xml:space="preserve">los derechos humanos de las mujeres y las niñas son parte integrante e indivisible de los derechos </w:t>
      </w:r>
      <w:r>
        <w:rPr>
          <w:rFonts w:ascii="Times New Roman" w:eastAsia="Calibri" w:hAnsi="Times New Roman" w:cs="Times New Roman"/>
          <w:bCs/>
          <w:color w:val="000000"/>
          <w:sz w:val="24"/>
          <w:szCs w:val="24"/>
        </w:rPr>
        <w:t>humanos universales (...)”</w:t>
      </w:r>
      <w:r w:rsidR="00AC07D0">
        <w:rPr>
          <w:rFonts w:ascii="Times New Roman" w:eastAsia="Calibri" w:hAnsi="Times New Roman" w:cs="Times New Roman"/>
          <w:bCs/>
          <w:color w:val="000000"/>
          <w:sz w:val="24"/>
          <w:szCs w:val="24"/>
        </w:rPr>
        <w:t xml:space="preserve"> </w:t>
      </w:r>
      <w:r>
        <w:rPr>
          <w:rFonts w:ascii="Times New Roman" w:eastAsia="Calibri" w:hAnsi="Times New Roman" w:cs="Times New Roman"/>
          <w:bCs/>
          <w:color w:val="000000"/>
          <w:sz w:val="24"/>
          <w:szCs w:val="24"/>
        </w:rPr>
        <w:t>(ONU, 2020</w:t>
      </w:r>
      <w:r w:rsidR="00931545">
        <w:rPr>
          <w:rFonts w:ascii="Times New Roman" w:eastAsia="Calibri" w:hAnsi="Times New Roman" w:cs="Times New Roman"/>
          <w:bCs/>
          <w:color w:val="000000"/>
          <w:sz w:val="24"/>
          <w:szCs w:val="24"/>
        </w:rPr>
        <w:t xml:space="preserve">, párr. </w:t>
      </w:r>
      <w:r w:rsidR="00721EFE">
        <w:rPr>
          <w:rFonts w:ascii="Times New Roman" w:eastAsia="Calibri" w:hAnsi="Times New Roman" w:cs="Times New Roman"/>
          <w:bCs/>
          <w:color w:val="000000"/>
          <w:sz w:val="24"/>
          <w:szCs w:val="24"/>
        </w:rPr>
        <w:t>18</w:t>
      </w:r>
      <w:r>
        <w:rPr>
          <w:rFonts w:ascii="Times New Roman" w:eastAsia="Calibri" w:hAnsi="Times New Roman" w:cs="Times New Roman"/>
          <w:bCs/>
          <w:color w:val="000000"/>
          <w:sz w:val="24"/>
          <w:szCs w:val="24"/>
        </w:rPr>
        <w:t>).</w:t>
      </w:r>
    </w:p>
    <w:p w14:paraId="02B9474E" w14:textId="43BC03D8" w:rsidR="00E10342" w:rsidRDefault="00D31DDB" w:rsidP="003476F3">
      <w:pPr>
        <w:pStyle w:val="Standard"/>
        <w:spacing w:after="0" w:line="360" w:lineRule="auto"/>
        <w:ind w:firstLine="709"/>
        <w:jc w:val="both"/>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A pesar de que, a través del tiempo, la humanidad se ha venido sensibilizando e instruyendo acerca de la violencia intrafamiliar como parte de la violencia de género, queda aún mucho por estudiar. De ahí la importancia, la pertinencia y el interés por abordar este tema mediante</w:t>
      </w:r>
      <w:r w:rsidR="00986017">
        <w:rPr>
          <w:rFonts w:ascii="Times New Roman" w:eastAsia="Calibri" w:hAnsi="Times New Roman" w:cs="Times New Roman"/>
          <w:bCs/>
          <w:color w:val="000000"/>
          <w:sz w:val="24"/>
          <w:szCs w:val="24"/>
        </w:rPr>
        <w:t xml:space="preserve"> el </w:t>
      </w:r>
      <w:r w:rsidR="00243E38">
        <w:rPr>
          <w:rFonts w:ascii="Times New Roman" w:eastAsia="Calibri" w:hAnsi="Times New Roman" w:cs="Times New Roman"/>
          <w:bCs/>
          <w:color w:val="000000"/>
          <w:sz w:val="24"/>
          <w:szCs w:val="24"/>
        </w:rPr>
        <w:t>TFG</w:t>
      </w:r>
      <w:r>
        <w:rPr>
          <w:rFonts w:ascii="Times New Roman" w:eastAsia="Calibri" w:hAnsi="Times New Roman" w:cs="Times New Roman"/>
          <w:bCs/>
          <w:color w:val="000000"/>
          <w:sz w:val="24"/>
          <w:szCs w:val="24"/>
        </w:rPr>
        <w:t xml:space="preserve"> que se propone. Este aporta conocimiento teórico y metodológico, especialmente desde lo judicial con énfasis familiar, donde constituye un trabajo que se </w:t>
      </w:r>
      <w:r>
        <w:rPr>
          <w:rFonts w:ascii="Times New Roman" w:eastAsia="Calibri" w:hAnsi="Times New Roman" w:cs="Times New Roman"/>
          <w:bCs/>
          <w:color w:val="000000"/>
          <w:sz w:val="24"/>
          <w:szCs w:val="24"/>
        </w:rPr>
        <w:lastRenderedPageBreak/>
        <w:t>presenta como una manera de interrelacionar los aspectos judiciales con una problemática social, como lo es la violencia intrafamiliar, con las vulnerabilidades cognitivas.</w:t>
      </w:r>
    </w:p>
    <w:p w14:paraId="18F11FFB" w14:textId="77777777" w:rsidR="00E10342" w:rsidRDefault="00D31DDB" w:rsidP="003476F3">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Al respecto, interesa destacar que por habilidades cognitivas se comprende, según Ballesteros (2014), aquellas tales como como la percepción, la atención, la memoria, el pensamiento y el lenguaje que les permitan procesar información proveniente del medio ambiente, así como acumularla en su memoria para posteriormente procesarla, junto con la que adquieren con el paso del tiempo, y desechar o recuperar la que se necesite en el momento oportuno. Lo cierto del caso es que las víctimas de violencia doméstica encuentran estas habilidades limitadas y, como consecuencia de esto, no logran procesar la información que adquieren, ni tampoco desechar o cruzar esta con la preexistente.</w:t>
      </w:r>
    </w:p>
    <w:p w14:paraId="75648CD7" w14:textId="411FD01B" w:rsidR="00E10342" w:rsidRDefault="00D31DDB" w:rsidP="003476F3">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Estas habilidades antes mencionadas permiten a las mujeres vivir en sociedad y resolver las diversas situaciones personales o interpersonales que se les presenten. De ahí que las mismas no se encuentren limitadas.</w:t>
      </w:r>
    </w:p>
    <w:p w14:paraId="2D7C0ED7" w14:textId="0B3568D4" w:rsidR="00440AB3" w:rsidRPr="001E3CDB" w:rsidRDefault="00D31DDB" w:rsidP="00155A39">
      <w:pPr>
        <w:rPr>
          <w:rFonts w:eastAsia="Calibri" w:cs="Times New Roman"/>
          <w:bCs/>
          <w:szCs w:val="24"/>
        </w:rPr>
      </w:pPr>
      <w:r w:rsidRPr="001E3CDB">
        <w:rPr>
          <w:rFonts w:eastAsia="Calibri" w:cs="Times New Roman"/>
          <w:bCs/>
          <w:szCs w:val="24"/>
        </w:rPr>
        <w:t>El reconocimiento de los derechos de las mujeres víctimas de violencia intrafamiliar acarreó cambios importantes al introducir en las ciencias jurídicas</w:t>
      </w:r>
      <w:r w:rsidR="00440AB3" w:rsidRPr="001E3CDB">
        <w:rPr>
          <w:rFonts w:eastAsia="Calibri" w:cs="Times New Roman"/>
          <w:bCs/>
          <w:szCs w:val="24"/>
        </w:rPr>
        <w:t xml:space="preserve"> </w:t>
      </w:r>
      <w:r w:rsidR="00AC07D0" w:rsidRPr="001E3CDB">
        <w:rPr>
          <w:rFonts w:eastAsia="Calibri" w:cs="Times New Roman"/>
          <w:bCs/>
          <w:szCs w:val="24"/>
        </w:rPr>
        <w:t>la perspectiva de género</w:t>
      </w:r>
      <w:r w:rsidR="00B575E9" w:rsidRPr="001E3CDB">
        <w:rPr>
          <w:rFonts w:eastAsia="Calibri" w:cs="Times New Roman"/>
          <w:bCs/>
          <w:szCs w:val="24"/>
        </w:rPr>
        <w:t>:</w:t>
      </w:r>
    </w:p>
    <w:p w14:paraId="0B5215F7" w14:textId="25B1290A" w:rsidR="00AC07D0" w:rsidRPr="00F829F4" w:rsidRDefault="00B575E9" w:rsidP="00B575E9">
      <w:pPr>
        <w:ind w:left="709" w:firstLine="0"/>
        <w:rPr>
          <w:rFonts w:eastAsia="Calibri" w:cs="Times New Roman"/>
          <w:bCs/>
          <w:szCs w:val="24"/>
        </w:rPr>
      </w:pPr>
      <w:r w:rsidRPr="001E3CDB">
        <w:rPr>
          <w:rFonts w:eastAsia="Calibri" w:cs="Times New Roman"/>
          <w:bCs/>
          <w:szCs w:val="24"/>
        </w:rPr>
        <w:t xml:space="preserve">(…) </w:t>
      </w:r>
      <w:r w:rsidR="00AC07D0" w:rsidRPr="001E3CDB">
        <w:rPr>
          <w:rFonts w:eastAsia="Calibri" w:cs="Times New Roman"/>
          <w:bCs/>
          <w:szCs w:val="24"/>
        </w:rPr>
        <w:t xml:space="preserve">permite visibilizar la realidad que viven las </w:t>
      </w:r>
      <w:r w:rsidR="00440AB3" w:rsidRPr="001E3CDB">
        <w:rPr>
          <w:rFonts w:eastAsia="Calibri" w:cs="Times New Roman"/>
          <w:bCs/>
          <w:szCs w:val="24"/>
        </w:rPr>
        <w:t>mujeres,</w:t>
      </w:r>
      <w:r w:rsidR="00AC07D0" w:rsidRPr="001E3CDB">
        <w:rPr>
          <w:rFonts w:eastAsia="Calibri" w:cs="Times New Roman"/>
          <w:bCs/>
          <w:szCs w:val="24"/>
        </w:rPr>
        <w:t xml:space="preserve"> así como los procesos culturales de socialización que internalizan y refuerzan los mecanismos de subordinación de las mujeres. En este sentido, la perspectiva de género no sólo analiza la relación de subordinación entre las mujeres y los varones, sino que también las relaciones entre mujeres y la funcionalidad de sus prácticas con el sistema patriarcal.</w:t>
      </w:r>
      <w:r w:rsidR="005F159A">
        <w:rPr>
          <w:rFonts w:eastAsia="Calibri" w:cs="Times New Roman"/>
          <w:bCs/>
          <w:szCs w:val="24"/>
        </w:rPr>
        <w:t xml:space="preserve"> </w:t>
      </w:r>
      <w:r w:rsidR="00AC07D0" w:rsidRPr="001E3CDB">
        <w:rPr>
          <w:rFonts w:eastAsia="Calibri" w:cs="Times New Roman"/>
          <w:bCs/>
          <w:szCs w:val="24"/>
        </w:rPr>
        <w:t>(</w:t>
      </w:r>
      <w:r w:rsidR="00440AB3" w:rsidRPr="001E3CDB">
        <w:rPr>
          <w:rFonts w:eastAsia="Calibri" w:cs="Times New Roman"/>
          <w:bCs/>
          <w:szCs w:val="24"/>
        </w:rPr>
        <w:t xml:space="preserve">Facio y </w:t>
      </w:r>
      <w:proofErr w:type="spellStart"/>
      <w:r w:rsidR="00440AB3" w:rsidRPr="001E3CDB">
        <w:rPr>
          <w:rFonts w:eastAsia="Calibri" w:cs="Times New Roman"/>
          <w:bCs/>
          <w:szCs w:val="24"/>
        </w:rPr>
        <w:t>Fries</w:t>
      </w:r>
      <w:proofErr w:type="spellEnd"/>
      <w:r w:rsidR="00440AB3" w:rsidRPr="001E3CDB">
        <w:rPr>
          <w:rFonts w:eastAsia="Calibri" w:cs="Times New Roman"/>
          <w:bCs/>
          <w:szCs w:val="24"/>
        </w:rPr>
        <w:t>, 1999, p. 14)</w:t>
      </w:r>
      <w:r w:rsidR="00440AB3">
        <w:rPr>
          <w:rFonts w:eastAsia="Calibri" w:cs="Times New Roman"/>
          <w:bCs/>
          <w:szCs w:val="24"/>
        </w:rPr>
        <w:t xml:space="preserve"> </w:t>
      </w:r>
    </w:p>
    <w:p w14:paraId="065E4E20" w14:textId="2341AE5D" w:rsidR="00E10342" w:rsidRDefault="00D31DDB" w:rsidP="003476F3">
      <w:pPr>
        <w:pStyle w:val="Standard"/>
        <w:spacing w:after="0" w:line="360" w:lineRule="auto"/>
        <w:ind w:firstLine="709"/>
        <w:jc w:val="both"/>
      </w:pPr>
      <w:r>
        <w:rPr>
          <w:rFonts w:ascii="Times New Roman" w:eastAsia="Calibri" w:hAnsi="Times New Roman" w:cs="Times New Roman"/>
          <w:bCs/>
          <w:sz w:val="24"/>
          <w:szCs w:val="24"/>
        </w:rPr>
        <w:t xml:space="preserve">Razón de ello es que el Estado, desde su rol protector, implementa una serie de políticas y acciones en busca de disminuir la revictimización dentro de las que destacan el decreto ejecutivo </w:t>
      </w:r>
      <w:proofErr w:type="spellStart"/>
      <w:r>
        <w:rPr>
          <w:rFonts w:ascii="Times New Roman" w:eastAsia="Calibri" w:hAnsi="Times New Roman" w:cs="Times New Roman"/>
          <w:bCs/>
          <w:sz w:val="24"/>
          <w:szCs w:val="24"/>
        </w:rPr>
        <w:t>N.°</w:t>
      </w:r>
      <w:proofErr w:type="spellEnd"/>
      <w:r>
        <w:rPr>
          <w:rFonts w:ascii="Times New Roman" w:eastAsia="Calibri" w:hAnsi="Times New Roman" w:cs="Times New Roman"/>
          <w:bCs/>
          <w:sz w:val="24"/>
          <w:szCs w:val="24"/>
        </w:rPr>
        <w:t xml:space="preserve"> 2664, con el que se crea en Costa Rica el Sistema Nacional de Atención y Prevención contra la Violencia Intrafamiliar y el Abuso Sexual Extrafamiliar, así como el Plan Nacional de Atención de la Violencia Intrafamiliar que dio lugar a la atención comunitaria; y en el año 2000, se crearon los Juzgados Especializados de Violencia Doméstica.</w:t>
      </w:r>
    </w:p>
    <w:p w14:paraId="6AE7E2A9" w14:textId="4858CD60" w:rsidR="00E10342" w:rsidRDefault="00D31DDB" w:rsidP="003476F3">
      <w:pPr>
        <w:pStyle w:val="Standard"/>
        <w:tabs>
          <w:tab w:val="left" w:pos="567"/>
        </w:tabs>
        <w:spacing w:after="0" w:line="360" w:lineRule="auto"/>
        <w:ind w:firstLine="709"/>
        <w:jc w:val="both"/>
      </w:pPr>
      <w:r>
        <w:rPr>
          <w:rFonts w:ascii="Times New Roman" w:eastAsia="Calibri" w:hAnsi="Times New Roman" w:cs="Times New Roman"/>
          <w:bCs/>
          <w:sz w:val="24"/>
          <w:szCs w:val="24"/>
        </w:rPr>
        <w:t xml:space="preserve">En la actualidad, en cada una de las siete provincias de Costa Rica, en San José, Cartago, Heredia, Hatillo, Limón, Liberia, Puntarenas y Alajuela, se cuenta con al menos un juzgado especializado contra la violencia doméstica. Además, se cuenta con el Juzgado </w:t>
      </w:r>
      <w:r>
        <w:rPr>
          <w:rFonts w:ascii="Times New Roman" w:eastAsia="Calibri" w:hAnsi="Times New Roman" w:cs="Times New Roman"/>
          <w:bCs/>
          <w:sz w:val="24"/>
          <w:szCs w:val="24"/>
        </w:rPr>
        <w:lastRenderedPageBreak/>
        <w:t>de Turno Extraordinario, que labora las 24 horas durante todos los días del año, siendo su finalidad brindar comprensión y apoyo a las víctimas de violencia intrafamiliar ante sus necesidades físicas, psicológicas y emocionales sin revictimizarlas por prejuicios ni estereotipos durante el proceso judicial, tal y como lo indica el Protocolo de Atención a Víctimas en los Juzgados de Violencia Doméstica del Poder Judicial, (2008).</w:t>
      </w:r>
    </w:p>
    <w:p w14:paraId="5CEF60B5" w14:textId="11CBA59C" w:rsidR="00E10342" w:rsidRDefault="00D31DDB" w:rsidP="003476F3">
      <w:pPr>
        <w:pStyle w:val="Standard"/>
        <w:tabs>
          <w:tab w:val="left" w:pos="567"/>
        </w:tabs>
        <w:spacing w:after="0" w:line="360" w:lineRule="auto"/>
        <w:ind w:firstLine="709"/>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En este sentido, y como sustento estadístico según los datos del Poder Judicial, 2018 y 2019, correspondientes a la provincia de San José, esta zona en la que la población femenina presenta el mayor porcentaje de índice de violencia doméstica a nivel país, con un índice de 17.491 casos, resulta una constante en el tiempo. Este porcentaje mayoritariamente corresponde a población asumida por el Juzgado Contra la Violencia Doméstica del II Circuito, al conocer seis cantones de los veinte que conforma la provincia de San José.</w:t>
      </w:r>
    </w:p>
    <w:bookmarkEnd w:id="32"/>
    <w:p w14:paraId="665DEE92" w14:textId="56DB0041" w:rsidR="00E10342" w:rsidRDefault="00D31DDB" w:rsidP="003476F3">
      <w:pPr>
        <w:pStyle w:val="Standard"/>
        <w:tabs>
          <w:tab w:val="left" w:pos="567"/>
        </w:tabs>
        <w:spacing w:after="0" w:line="360" w:lineRule="auto"/>
        <w:ind w:firstLine="709"/>
        <w:jc w:val="both"/>
      </w:pPr>
      <w:r>
        <w:rPr>
          <w:rFonts w:ascii="Times New Roman" w:eastAsia="Calibri" w:hAnsi="Times New Roman" w:cs="Times New Roman"/>
          <w:bCs/>
          <w:sz w:val="24"/>
          <w:szCs w:val="24"/>
        </w:rPr>
        <w:t>En</w:t>
      </w:r>
      <w:r>
        <w:rPr>
          <w:rFonts w:ascii="Times New Roman" w:eastAsia="Calibri" w:hAnsi="Times New Roman" w:cs="Times New Roman"/>
          <w:bCs/>
          <w:sz w:val="24"/>
          <w:szCs w:val="24"/>
          <w:lang w:val="es-SV"/>
        </w:rPr>
        <w:t xml:space="preserve"> relación con la factibilidad del estudio, interesa señalar que la sustentante cuenta con los conocimientos teóricos</w:t>
      </w:r>
      <w:r w:rsidR="0081049F">
        <w:rPr>
          <w:rFonts w:ascii="Times New Roman" w:eastAsia="Calibri" w:hAnsi="Times New Roman" w:cs="Times New Roman"/>
          <w:bCs/>
          <w:sz w:val="24"/>
          <w:szCs w:val="24"/>
          <w:lang w:val="es-SV"/>
        </w:rPr>
        <w:t xml:space="preserve"> y prácticos</w:t>
      </w:r>
      <w:r w:rsidR="00B61B65">
        <w:rPr>
          <w:rFonts w:ascii="Times New Roman" w:eastAsia="Calibri" w:hAnsi="Times New Roman" w:cs="Times New Roman"/>
          <w:bCs/>
          <w:sz w:val="24"/>
          <w:szCs w:val="24"/>
          <w:lang w:val="es-SV"/>
        </w:rPr>
        <w:t xml:space="preserve"> desde la disciplina jurídica</w:t>
      </w:r>
      <w:r>
        <w:rPr>
          <w:rFonts w:ascii="Times New Roman" w:eastAsia="Calibri" w:hAnsi="Times New Roman" w:cs="Times New Roman"/>
          <w:bCs/>
          <w:sz w:val="24"/>
          <w:szCs w:val="24"/>
          <w:lang w:val="es-SV"/>
        </w:rPr>
        <w:t xml:space="preserve"> necesarios para el abordaje del tema y su análisis. Además, existen importantes fuentes teóricas acerca del origen, las manifestaciones y las explicaciones de la violencia intrafamiliar y de su incidencia en las habilidades cognitivas de las personas que la sufren, en particular las mujeres.</w:t>
      </w:r>
    </w:p>
    <w:p w14:paraId="3C9649AE" w14:textId="1F217490" w:rsidR="00E10342" w:rsidRDefault="00D31DDB" w:rsidP="003476F3">
      <w:pPr>
        <w:pStyle w:val="Standard"/>
        <w:spacing w:after="0" w:line="360" w:lineRule="auto"/>
        <w:ind w:firstLine="709"/>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 xml:space="preserve">En síntesis, en correspondencia con la naturaleza del tema y las interrogantes establecidas, se </w:t>
      </w:r>
      <w:r w:rsidR="00195D15">
        <w:rPr>
          <w:rFonts w:ascii="Times New Roman" w:eastAsia="Calibri" w:hAnsi="Times New Roman" w:cs="Times New Roman"/>
          <w:bCs/>
          <w:sz w:val="24"/>
          <w:szCs w:val="24"/>
          <w:lang w:val="es-SV"/>
        </w:rPr>
        <w:t>elige</w:t>
      </w:r>
      <w:r>
        <w:rPr>
          <w:rFonts w:ascii="Times New Roman" w:eastAsia="Calibri" w:hAnsi="Times New Roman" w:cs="Times New Roman"/>
          <w:bCs/>
          <w:sz w:val="24"/>
          <w:szCs w:val="24"/>
          <w:lang w:val="es-SV"/>
        </w:rPr>
        <w:t xml:space="preserve"> el enfoque cualitativo</w:t>
      </w:r>
      <w:r w:rsidR="0081049F">
        <w:rPr>
          <w:rFonts w:ascii="Times New Roman" w:eastAsia="Calibri" w:hAnsi="Times New Roman" w:cs="Times New Roman"/>
          <w:bCs/>
          <w:sz w:val="24"/>
          <w:szCs w:val="24"/>
          <w:lang w:val="es-SV"/>
        </w:rPr>
        <w:t>,</w:t>
      </w:r>
      <w:r>
        <w:rPr>
          <w:rFonts w:ascii="Times New Roman" w:eastAsia="Calibri" w:hAnsi="Times New Roman" w:cs="Times New Roman"/>
          <w:bCs/>
          <w:sz w:val="24"/>
          <w:szCs w:val="24"/>
          <w:lang w:val="es-SV"/>
        </w:rPr>
        <w:t xml:space="preserve"> por cuanto interesa identificar las vulnerabilidades cognitivas afectadas y comprometidas en mujeres víctimas de violencia intrafamiliar.</w:t>
      </w:r>
    </w:p>
    <w:p w14:paraId="6C956E9A" w14:textId="7E0A0289" w:rsidR="00E10342" w:rsidRPr="00450544" w:rsidRDefault="00D31DDB" w:rsidP="00450544">
      <w:pPr>
        <w:pStyle w:val="Ttulo2"/>
        <w:rPr>
          <w:rFonts w:eastAsia="Calibri"/>
        </w:rPr>
      </w:pPr>
      <w:bookmarkStart w:id="33" w:name="1autor"/>
      <w:bookmarkStart w:id="34" w:name="__RefHeading__27431_1894434827"/>
      <w:bookmarkStart w:id="35" w:name="_Toc61276968"/>
      <w:bookmarkStart w:id="36" w:name="_Toc45205376"/>
      <w:bookmarkStart w:id="37" w:name="_Toc62463317"/>
      <w:bookmarkStart w:id="38" w:name="_Toc62476053"/>
      <w:bookmarkStart w:id="39" w:name="_Toc62476259"/>
      <w:bookmarkStart w:id="40" w:name="_Toc63688926"/>
      <w:bookmarkEnd w:id="33"/>
      <w:r w:rsidRPr="00450544">
        <w:rPr>
          <w:rFonts w:eastAsia="Calibri"/>
        </w:rPr>
        <w:t xml:space="preserve">1.3 Contextualización </w:t>
      </w:r>
      <w:r w:rsidR="00450544" w:rsidRPr="00450544">
        <w:rPr>
          <w:rFonts w:eastAsia="Calibri"/>
        </w:rPr>
        <w:t>d</w:t>
      </w:r>
      <w:r w:rsidRPr="00450544">
        <w:rPr>
          <w:rFonts w:eastAsia="Calibri"/>
        </w:rPr>
        <w:t>iagnóstica</w:t>
      </w:r>
      <w:bookmarkEnd w:id="34"/>
      <w:bookmarkEnd w:id="35"/>
      <w:bookmarkEnd w:id="36"/>
      <w:bookmarkEnd w:id="37"/>
      <w:bookmarkEnd w:id="38"/>
      <w:bookmarkEnd w:id="39"/>
      <w:bookmarkEnd w:id="40"/>
    </w:p>
    <w:p w14:paraId="5E7EF7D7" w14:textId="77777777" w:rsidR="00F565BB" w:rsidRDefault="00F565BB" w:rsidP="00F565BB">
      <w:pPr>
        <w:pStyle w:val="Standard"/>
        <w:spacing w:after="0" w:line="360" w:lineRule="auto"/>
        <w:ind w:firstLine="709"/>
        <w:jc w:val="both"/>
      </w:pPr>
      <w:r>
        <w:rPr>
          <w:rFonts w:ascii="Times New Roman" w:hAnsi="Times New Roman" w:cs="Times New Roman"/>
          <w:bCs/>
          <w:sz w:val="24"/>
          <w:szCs w:val="24"/>
        </w:rPr>
        <w:t>En este apartado, se hace referencia a la creación, estructura y organización y función del Poder Judicial, especialmente en las instancias intervinientes en la atención de violencia contra las mujeres. Esto, comprendiendo que el servicio social que se brinda atiende a las políticas públicas en cuanto a la violencia, incide en las estrategias y se despliega en su atención.</w:t>
      </w:r>
    </w:p>
    <w:p w14:paraId="51D1E908" w14:textId="77777777" w:rsidR="00F565BB" w:rsidRPr="00333D21" w:rsidRDefault="00F565BB" w:rsidP="003476F3">
      <w:pPr>
        <w:pStyle w:val="Standard"/>
        <w:spacing w:after="0" w:line="360" w:lineRule="auto"/>
        <w:ind w:firstLine="680"/>
        <w:jc w:val="both"/>
        <w:rPr>
          <w:rFonts w:ascii="Times New Roman" w:eastAsia="Calibri" w:hAnsi="Times New Roman" w:cs="Times New Roman"/>
          <w:bCs/>
          <w:sz w:val="24"/>
          <w:szCs w:val="24"/>
        </w:rPr>
      </w:pPr>
    </w:p>
    <w:p w14:paraId="3BC0F458" w14:textId="006F8870" w:rsidR="00E10342" w:rsidRDefault="00D31DDB" w:rsidP="003476F3">
      <w:pPr>
        <w:pStyle w:val="Standard"/>
        <w:spacing w:after="0" w:line="360" w:lineRule="auto"/>
        <w:ind w:firstLine="680"/>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lastRenderedPageBreak/>
        <w:t>El sitio en que se efect</w:t>
      </w:r>
      <w:r w:rsidR="0081049F">
        <w:rPr>
          <w:rFonts w:ascii="Times New Roman" w:eastAsia="Calibri" w:hAnsi="Times New Roman" w:cs="Times New Roman"/>
          <w:bCs/>
          <w:sz w:val="24"/>
          <w:szCs w:val="24"/>
          <w:lang w:val="es-SV"/>
        </w:rPr>
        <w:t>úa el TFG</w:t>
      </w:r>
      <w:r>
        <w:rPr>
          <w:rFonts w:ascii="Times New Roman" w:eastAsia="Calibri" w:hAnsi="Times New Roman" w:cs="Times New Roman"/>
          <w:bCs/>
          <w:sz w:val="24"/>
          <w:szCs w:val="24"/>
          <w:lang w:val="es-SV"/>
        </w:rPr>
        <w:t xml:space="preserve"> es el Juzgado Contra la Violencia Doméstica. Dicho Juzgado se ubica en el II Circuito Judicial de San José, quinto piso, en el cantón de Goicoechea (Poder Judicial, 2020).</w:t>
      </w:r>
    </w:p>
    <w:p w14:paraId="746AAB1C" w14:textId="77777777" w:rsidR="00E10342" w:rsidRDefault="00D31DDB" w:rsidP="003476F3">
      <w:pPr>
        <w:pStyle w:val="Standard"/>
        <w:spacing w:after="0" w:line="360" w:lineRule="auto"/>
        <w:ind w:firstLine="680"/>
        <w:jc w:val="both"/>
      </w:pPr>
      <w:r>
        <w:rPr>
          <w:rFonts w:ascii="Times New Roman" w:eastAsia="Calibri" w:hAnsi="Times New Roman" w:cs="Times New Roman"/>
          <w:bCs/>
          <w:sz w:val="24"/>
          <w:szCs w:val="24"/>
          <w:lang w:val="es-SV"/>
        </w:rPr>
        <w:t>Según el artículo único de la Ley</w:t>
      </w:r>
      <w:r>
        <w:rPr>
          <w:rFonts w:ascii="Times New Roman" w:eastAsia="Times New Roman" w:hAnsi="Times New Roman" w:cs="Times New Roman"/>
          <w:bCs/>
          <w:color w:val="000000"/>
          <w:sz w:val="24"/>
          <w:szCs w:val="24"/>
          <w:lang w:eastAsia="es-CR"/>
        </w:rPr>
        <w:t xml:space="preserve"> 8128 del 29 de agosto 2001,</w:t>
      </w:r>
      <w:r>
        <w:rPr>
          <w:rFonts w:ascii="Times New Roman" w:eastAsia="Calibri" w:hAnsi="Times New Roman" w:cs="Times New Roman"/>
          <w:bCs/>
          <w:sz w:val="24"/>
          <w:szCs w:val="24"/>
          <w:lang w:val="es-SV"/>
        </w:rPr>
        <w:t xml:space="preserve"> “El Juzgado Contra la Violencia Doméstica II Circuito Judicial, fue creado en el año 2003 con la finalidad de brindar atención judicial a la población que requiera proteger su vida, dignidad e integridad, según los principios rectores de la Ley Contra la Violencia Doméstica la Violencia Doméstica.”</w:t>
      </w:r>
    </w:p>
    <w:p w14:paraId="3B333487" w14:textId="002EE4A2" w:rsidR="00E10342" w:rsidRDefault="00D31DDB" w:rsidP="003476F3">
      <w:pPr>
        <w:pStyle w:val="Standard"/>
        <w:shd w:val="clear" w:color="auto" w:fill="FFFFFF"/>
        <w:spacing w:after="0" w:line="360" w:lineRule="auto"/>
        <w:ind w:firstLine="680"/>
        <w:jc w:val="both"/>
        <w:rPr>
          <w:rFonts w:ascii="Times New Roman" w:eastAsia="Times New Roman" w:hAnsi="Times New Roman" w:cs="Times New Roman"/>
          <w:bCs/>
          <w:sz w:val="24"/>
          <w:szCs w:val="24"/>
          <w:lang w:eastAsia="es-CR"/>
        </w:rPr>
      </w:pPr>
      <w:r>
        <w:rPr>
          <w:rFonts w:ascii="Times New Roman" w:eastAsia="Calibri" w:hAnsi="Times New Roman" w:cs="Times New Roman"/>
          <w:bCs/>
          <w:sz w:val="24"/>
          <w:szCs w:val="24"/>
          <w:lang w:val="es-SV"/>
        </w:rPr>
        <w:t xml:space="preserve">En la actualidad, lo coordinan cinco personas juzgadoras, quienes conforman el Consejo de Jueces; un órgano decisor de la administración del Despacho, ocho plazas de técnicos judiciales, así como un técnico coordinador. Como auxiliares de la justicia se encuentra el Departamento de Trabajo Social y Psicología del Poder Judicial, según informa </w:t>
      </w:r>
      <w:proofErr w:type="gramStart"/>
      <w:r>
        <w:rPr>
          <w:rFonts w:ascii="Times New Roman" w:eastAsia="Calibri" w:hAnsi="Times New Roman" w:cs="Times New Roman"/>
          <w:bCs/>
          <w:sz w:val="24"/>
          <w:szCs w:val="24"/>
          <w:lang w:val="es-SV"/>
        </w:rPr>
        <w:t>la</w:t>
      </w:r>
      <w:r w:rsidR="001768B3">
        <w:rPr>
          <w:rFonts w:ascii="Times New Roman" w:eastAsia="Calibri" w:hAnsi="Times New Roman" w:cs="Times New Roman"/>
          <w:bCs/>
          <w:sz w:val="24"/>
          <w:szCs w:val="24"/>
          <w:lang w:val="es-SV"/>
        </w:rPr>
        <w:t xml:space="preserve"> </w:t>
      </w:r>
      <w:r>
        <w:rPr>
          <w:rFonts w:ascii="Times New Roman" w:eastAsia="Calibri" w:hAnsi="Times New Roman" w:cs="Times New Roman"/>
          <w:bCs/>
          <w:sz w:val="24"/>
          <w:szCs w:val="24"/>
          <w:lang w:val="es-SV"/>
        </w:rPr>
        <w:t>magíster</w:t>
      </w:r>
      <w:proofErr w:type="gramEnd"/>
      <w:r>
        <w:rPr>
          <w:rFonts w:ascii="Times New Roman" w:eastAsia="Calibri" w:hAnsi="Times New Roman" w:cs="Times New Roman"/>
          <w:bCs/>
          <w:sz w:val="24"/>
          <w:szCs w:val="24"/>
          <w:lang w:val="es-SV"/>
        </w:rPr>
        <w:t xml:space="preserve"> Silvia Fernández Quirós, jueza coordinadora del Despacho Judicial. Por disposición legal, este departamento conoce sobre</w:t>
      </w:r>
      <w:r w:rsidR="00811FCF">
        <w:rPr>
          <w:rFonts w:ascii="Times New Roman" w:eastAsia="Calibri" w:hAnsi="Times New Roman" w:cs="Times New Roman"/>
          <w:bCs/>
          <w:sz w:val="24"/>
          <w:szCs w:val="24"/>
          <w:lang w:val="es-SV"/>
        </w:rPr>
        <w:t xml:space="preserve"> </w:t>
      </w:r>
      <w:r>
        <w:rPr>
          <w:rFonts w:ascii="Times New Roman" w:eastAsia="Calibri" w:hAnsi="Times New Roman" w:cs="Times New Roman"/>
          <w:bCs/>
          <w:sz w:val="24"/>
          <w:szCs w:val="24"/>
          <w:lang w:val="es-SV"/>
        </w:rPr>
        <w:t>la materia de violencia doméstica que se presenta en los cantones de Tibás, Moravia, Coronado, Montes de Oca, Curridabat y Goicoechea.</w:t>
      </w:r>
      <w:r>
        <w:rPr>
          <w:rFonts w:ascii="Times New Roman" w:eastAsia="Times New Roman" w:hAnsi="Times New Roman" w:cs="Times New Roman"/>
          <w:bCs/>
          <w:sz w:val="24"/>
          <w:szCs w:val="24"/>
          <w:lang w:eastAsia="es-CR"/>
        </w:rPr>
        <w:t xml:space="preserve"> La ubicación se muestra en el siguiente mapa:</w:t>
      </w:r>
    </w:p>
    <w:p w14:paraId="6A30B492" w14:textId="77777777" w:rsidR="003476F3" w:rsidRDefault="003476F3" w:rsidP="003476F3">
      <w:pPr>
        <w:pStyle w:val="Standard"/>
        <w:shd w:val="clear" w:color="auto" w:fill="FFFFFF"/>
        <w:spacing w:after="0" w:line="360" w:lineRule="auto"/>
        <w:ind w:firstLine="680"/>
        <w:jc w:val="both"/>
      </w:pPr>
    </w:p>
    <w:p w14:paraId="3672F37D" w14:textId="77777777" w:rsidR="00E10342" w:rsidRDefault="00D31DDB">
      <w:pPr>
        <w:pStyle w:val="Standard"/>
        <w:shd w:val="clear" w:color="auto" w:fill="FFFFFF"/>
        <w:spacing w:after="0" w:line="360" w:lineRule="auto"/>
        <w:ind w:firstLine="708"/>
        <w:jc w:val="center"/>
      </w:pPr>
      <w:r>
        <w:rPr>
          <w:noProof/>
          <w:lang w:eastAsia="es-CR"/>
        </w:rPr>
        <w:drawing>
          <wp:inline distT="0" distB="0" distL="0" distR="0" wp14:anchorId="459F264B" wp14:editId="058CF400">
            <wp:extent cx="3252960" cy="1891800"/>
            <wp:effectExtent l="0" t="0" r="4590" b="0"/>
            <wp:docPr id="13" name="gráficos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l="24855" t="11048" r="567" b="11816"/>
                    <a:stretch>
                      <a:fillRect/>
                    </a:stretch>
                  </pic:blipFill>
                  <pic:spPr>
                    <a:xfrm>
                      <a:off x="0" y="0"/>
                      <a:ext cx="3252960" cy="1891800"/>
                    </a:xfrm>
                    <a:prstGeom prst="rect">
                      <a:avLst/>
                    </a:prstGeom>
                    <a:ln>
                      <a:noFill/>
                      <a:prstDash/>
                    </a:ln>
                  </pic:spPr>
                </pic:pic>
              </a:graphicData>
            </a:graphic>
          </wp:inline>
        </w:drawing>
      </w:r>
    </w:p>
    <w:p w14:paraId="25F94343" w14:textId="66961E08" w:rsidR="003476F3" w:rsidRPr="003476F3" w:rsidRDefault="00D31DDB" w:rsidP="00450544">
      <w:pPr>
        <w:pStyle w:val="Standard"/>
        <w:shd w:val="clear" w:color="auto" w:fill="FFFFFF"/>
        <w:spacing w:after="0" w:line="360" w:lineRule="auto"/>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ab/>
      </w:r>
      <w:r>
        <w:rPr>
          <w:rFonts w:ascii="Times New Roman" w:eastAsia="Calibri" w:hAnsi="Times New Roman" w:cs="Times New Roman"/>
          <w:bCs/>
          <w:sz w:val="24"/>
          <w:szCs w:val="24"/>
          <w:lang w:val="es-SV"/>
        </w:rPr>
        <w:tab/>
      </w:r>
      <w:r>
        <w:rPr>
          <w:rFonts w:ascii="Times New Roman" w:eastAsia="Calibri" w:hAnsi="Times New Roman" w:cs="Times New Roman"/>
          <w:bCs/>
          <w:sz w:val="24"/>
          <w:szCs w:val="24"/>
          <w:lang w:val="es-SV"/>
        </w:rPr>
        <w:tab/>
        <w:t xml:space="preserve">Fuente: Google </w:t>
      </w:r>
      <w:proofErr w:type="spellStart"/>
      <w:r>
        <w:rPr>
          <w:rFonts w:ascii="Times New Roman" w:eastAsia="Calibri" w:hAnsi="Times New Roman" w:cs="Times New Roman"/>
          <w:bCs/>
          <w:sz w:val="24"/>
          <w:szCs w:val="24"/>
          <w:lang w:val="es-SV"/>
        </w:rPr>
        <w:t>maps</w:t>
      </w:r>
      <w:proofErr w:type="spellEnd"/>
      <w:r>
        <w:rPr>
          <w:rFonts w:ascii="Times New Roman" w:eastAsia="Calibri" w:hAnsi="Times New Roman" w:cs="Times New Roman"/>
          <w:bCs/>
          <w:sz w:val="24"/>
          <w:szCs w:val="24"/>
          <w:lang w:val="es-SV"/>
        </w:rPr>
        <w:t>, 2020</w:t>
      </w:r>
    </w:p>
    <w:p w14:paraId="0EA90832" w14:textId="414F9AFA" w:rsidR="00E10342" w:rsidRDefault="00D31DDB" w:rsidP="003476F3">
      <w:pPr>
        <w:pStyle w:val="Standard"/>
        <w:tabs>
          <w:tab w:val="left" w:pos="709"/>
        </w:tabs>
        <w:spacing w:line="360" w:lineRule="auto"/>
        <w:ind w:firstLine="709"/>
        <w:jc w:val="both"/>
      </w:pPr>
      <w:r>
        <w:rPr>
          <w:rFonts w:ascii="Times New Roman" w:eastAsia="Calibri" w:hAnsi="Times New Roman" w:cs="Times New Roman"/>
          <w:bCs/>
          <w:sz w:val="24"/>
          <w:szCs w:val="24"/>
          <w:lang w:val="es-SV"/>
        </w:rPr>
        <w:t>El Juzgado forma parte del Poder Judicial de la República de Costa Rica; por lo tanto, comparte los valores, la misión y visión de esta institución pública, los cuales se detallan a continuación.</w:t>
      </w:r>
    </w:p>
    <w:p w14:paraId="05AC197E" w14:textId="77777777" w:rsidR="00E10342" w:rsidRDefault="00D31DDB" w:rsidP="0095499B">
      <w:pPr>
        <w:pStyle w:val="Prrafodelista"/>
        <w:numPr>
          <w:ilvl w:val="0"/>
          <w:numId w:val="22"/>
        </w:numPr>
        <w:shd w:val="clear" w:color="auto" w:fill="FFFFFF"/>
        <w:tabs>
          <w:tab w:val="left" w:pos="993"/>
        </w:tabs>
        <w:spacing w:after="0" w:line="360" w:lineRule="auto"/>
        <w:ind w:left="993" w:hanging="284"/>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lastRenderedPageBreak/>
        <w:t xml:space="preserve">Misión: Brindar un servicio de calidad, mediante el trabajo interdisciplinario eficiente </w:t>
      </w:r>
      <w:proofErr w:type="spellStart"/>
      <w:proofErr w:type="gramStart"/>
      <w:r>
        <w:rPr>
          <w:rFonts w:ascii="Times New Roman" w:eastAsia="Calibri" w:hAnsi="Times New Roman" w:cs="Times New Roman"/>
          <w:bCs/>
          <w:sz w:val="24"/>
          <w:szCs w:val="24"/>
          <w:lang w:val="es-SV"/>
        </w:rPr>
        <w:t>e</w:t>
      </w:r>
      <w:proofErr w:type="spellEnd"/>
      <w:proofErr w:type="gramEnd"/>
      <w:r>
        <w:rPr>
          <w:rFonts w:ascii="Times New Roman" w:eastAsia="Calibri" w:hAnsi="Times New Roman" w:cs="Times New Roman"/>
          <w:bCs/>
          <w:sz w:val="24"/>
          <w:szCs w:val="24"/>
          <w:lang w:val="es-SV"/>
        </w:rPr>
        <w:t xml:space="preserve"> eficaz, que contribuya con la optimización de la administración de la administración de justicia.</w:t>
      </w:r>
    </w:p>
    <w:p w14:paraId="365ABA82" w14:textId="77777777" w:rsidR="00E10342" w:rsidRDefault="00D31DDB" w:rsidP="0095499B">
      <w:pPr>
        <w:pStyle w:val="Prrafodelista"/>
        <w:numPr>
          <w:ilvl w:val="0"/>
          <w:numId w:val="21"/>
        </w:numPr>
        <w:shd w:val="clear" w:color="auto" w:fill="FFFFFF"/>
        <w:tabs>
          <w:tab w:val="left" w:pos="993"/>
        </w:tabs>
        <w:spacing w:after="0" w:line="360" w:lineRule="auto"/>
        <w:ind w:left="993" w:hanging="284"/>
        <w:jc w:val="both"/>
      </w:pPr>
      <w:r>
        <w:rPr>
          <w:rFonts w:ascii="Times New Roman" w:eastAsia="Calibri" w:hAnsi="Times New Roman" w:cs="Times New Roman"/>
          <w:bCs/>
          <w:sz w:val="24"/>
          <w:szCs w:val="24"/>
          <w:lang w:val="es-SV"/>
        </w:rPr>
        <w:t xml:space="preserve">Visión: </w:t>
      </w:r>
      <w:r>
        <w:rPr>
          <w:rFonts w:ascii="Times New Roman" w:eastAsia="Calibri" w:hAnsi="Times New Roman" w:cs="Times New Roman"/>
          <w:bCs/>
          <w:sz w:val="24"/>
          <w:szCs w:val="24"/>
        </w:rPr>
        <w:t>Ser una organización consolidada y reconocida en la formación, capacitación e investigación, tanto a nivel nacional e internacional, que contribuya con la excelencia en la administración de justicia.</w:t>
      </w:r>
    </w:p>
    <w:p w14:paraId="51B1EEDB" w14:textId="77777777" w:rsidR="00E10342" w:rsidRDefault="00D31DDB" w:rsidP="0095499B">
      <w:pPr>
        <w:pStyle w:val="Prrafodelista"/>
        <w:numPr>
          <w:ilvl w:val="0"/>
          <w:numId w:val="21"/>
        </w:numPr>
        <w:tabs>
          <w:tab w:val="left" w:pos="993"/>
        </w:tabs>
        <w:spacing w:after="0" w:line="360" w:lineRule="auto"/>
        <w:ind w:left="993" w:hanging="284"/>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Valores:</w:t>
      </w:r>
    </w:p>
    <w:p w14:paraId="32253B66" w14:textId="77777777" w:rsidR="00E10342" w:rsidRDefault="00D31DDB" w:rsidP="0095499B">
      <w:pPr>
        <w:pStyle w:val="Standard"/>
        <w:numPr>
          <w:ilvl w:val="0"/>
          <w:numId w:val="23"/>
        </w:numPr>
        <w:tabs>
          <w:tab w:val="left" w:pos="1701"/>
          <w:tab w:val="left" w:pos="1843"/>
        </w:tabs>
        <w:spacing w:after="0" w:line="360" w:lineRule="auto"/>
        <w:ind w:left="1416" w:firstLine="0"/>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Honestidad.</w:t>
      </w:r>
    </w:p>
    <w:p w14:paraId="59648AD9" w14:textId="77777777" w:rsidR="00E10342" w:rsidRDefault="00D31DDB" w:rsidP="0095499B">
      <w:pPr>
        <w:pStyle w:val="Standard"/>
        <w:numPr>
          <w:ilvl w:val="0"/>
          <w:numId w:val="4"/>
        </w:numPr>
        <w:tabs>
          <w:tab w:val="left" w:pos="1701"/>
          <w:tab w:val="left" w:pos="1843"/>
        </w:tabs>
        <w:spacing w:after="0" w:line="360" w:lineRule="auto"/>
        <w:ind w:left="1416" w:firstLine="0"/>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Lealtad.</w:t>
      </w:r>
    </w:p>
    <w:p w14:paraId="012F9C06" w14:textId="77777777" w:rsidR="00E10342" w:rsidRDefault="00D31DDB" w:rsidP="0095499B">
      <w:pPr>
        <w:pStyle w:val="Standard"/>
        <w:numPr>
          <w:ilvl w:val="0"/>
          <w:numId w:val="4"/>
        </w:numPr>
        <w:tabs>
          <w:tab w:val="left" w:pos="1701"/>
          <w:tab w:val="left" w:pos="1843"/>
        </w:tabs>
        <w:spacing w:after="0" w:line="360" w:lineRule="auto"/>
        <w:ind w:left="1416" w:firstLine="0"/>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Compromiso.</w:t>
      </w:r>
    </w:p>
    <w:p w14:paraId="1A8148F4" w14:textId="77777777" w:rsidR="00E10342" w:rsidRDefault="00D31DDB" w:rsidP="0095499B">
      <w:pPr>
        <w:pStyle w:val="Standard"/>
        <w:numPr>
          <w:ilvl w:val="0"/>
          <w:numId w:val="4"/>
        </w:numPr>
        <w:tabs>
          <w:tab w:val="left" w:pos="1701"/>
          <w:tab w:val="left" w:pos="1843"/>
        </w:tabs>
        <w:spacing w:after="0" w:line="360" w:lineRule="auto"/>
        <w:ind w:left="1416" w:firstLine="0"/>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Respeto.</w:t>
      </w:r>
    </w:p>
    <w:p w14:paraId="6CD88A03" w14:textId="77777777" w:rsidR="00E10342" w:rsidRDefault="00D31DDB" w:rsidP="0095499B">
      <w:pPr>
        <w:pStyle w:val="Standard"/>
        <w:numPr>
          <w:ilvl w:val="0"/>
          <w:numId w:val="4"/>
        </w:numPr>
        <w:tabs>
          <w:tab w:val="left" w:pos="1701"/>
          <w:tab w:val="left" w:pos="1843"/>
        </w:tabs>
        <w:spacing w:after="0" w:line="360" w:lineRule="auto"/>
        <w:ind w:left="1416" w:firstLine="0"/>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Lealtad.</w:t>
      </w:r>
    </w:p>
    <w:p w14:paraId="4A338478" w14:textId="77777777" w:rsidR="00E10342" w:rsidRDefault="00D31DDB" w:rsidP="0095499B">
      <w:pPr>
        <w:pStyle w:val="Standard"/>
        <w:numPr>
          <w:ilvl w:val="0"/>
          <w:numId w:val="4"/>
        </w:numPr>
        <w:tabs>
          <w:tab w:val="left" w:pos="1701"/>
          <w:tab w:val="left" w:pos="1843"/>
        </w:tabs>
        <w:spacing w:after="0" w:line="360" w:lineRule="auto"/>
        <w:ind w:left="1416" w:firstLine="0"/>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Solidaridad.</w:t>
      </w:r>
    </w:p>
    <w:p w14:paraId="52C6971D" w14:textId="20F233A8" w:rsidR="00E10342" w:rsidRPr="003476F3" w:rsidRDefault="00D31DDB" w:rsidP="0095499B">
      <w:pPr>
        <w:pStyle w:val="Standard"/>
        <w:numPr>
          <w:ilvl w:val="0"/>
          <w:numId w:val="4"/>
        </w:numPr>
        <w:tabs>
          <w:tab w:val="left" w:pos="1701"/>
          <w:tab w:val="left" w:pos="1843"/>
        </w:tabs>
        <w:spacing w:after="0" w:line="360" w:lineRule="auto"/>
        <w:ind w:left="1416" w:firstLine="0"/>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Responsabilidad. (Poder Judicial, 2020)</w:t>
      </w:r>
    </w:p>
    <w:p w14:paraId="27A00762" w14:textId="77777777" w:rsidR="00E10342" w:rsidRDefault="00D31DDB" w:rsidP="00450544">
      <w:pPr>
        <w:pStyle w:val="Standard"/>
        <w:spacing w:after="0" w:line="360" w:lineRule="auto"/>
        <w:ind w:firstLine="709"/>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 xml:space="preserve">Se seleccionó como referente empírico institucional para el estudio el Juzgado Contra la Violencia Doméstica del II Circuito Judicial de San José, </w:t>
      </w:r>
      <w:proofErr w:type="gramStart"/>
      <w:r>
        <w:rPr>
          <w:rFonts w:ascii="Times New Roman" w:eastAsia="Calibri" w:hAnsi="Times New Roman" w:cs="Times New Roman"/>
          <w:bCs/>
          <w:sz w:val="24"/>
          <w:szCs w:val="24"/>
          <w:lang w:val="es-SV"/>
        </w:rPr>
        <w:t>en razón de</w:t>
      </w:r>
      <w:proofErr w:type="gramEnd"/>
      <w:r>
        <w:rPr>
          <w:rFonts w:ascii="Times New Roman" w:eastAsia="Calibri" w:hAnsi="Times New Roman" w:cs="Times New Roman"/>
          <w:bCs/>
          <w:sz w:val="24"/>
          <w:szCs w:val="24"/>
          <w:lang w:val="es-SV"/>
        </w:rPr>
        <w:t xml:space="preserve"> que es el despacho judicial con la mayor competencia territorial y jurisdiccional de dicha provincia, pues le corresponde atender a la población que proviene de los cantones de Tibás, Moravia, Montes de Oca, Curridabat, Goicoechea y Coronado.</w:t>
      </w:r>
    </w:p>
    <w:p w14:paraId="26E72DD8" w14:textId="5FAA48EB" w:rsidR="00F565BB" w:rsidRDefault="00FE2854" w:rsidP="00F565B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Así mismo, se hace referencia</w:t>
      </w:r>
      <w:r w:rsidR="00F565BB">
        <w:rPr>
          <w:rFonts w:ascii="Times New Roman" w:hAnsi="Times New Roman" w:cs="Times New Roman"/>
          <w:bCs/>
          <w:sz w:val="24"/>
          <w:szCs w:val="24"/>
        </w:rPr>
        <w:t xml:space="preserve"> a la existencia de legislación nacional e internacional </w:t>
      </w:r>
      <w:r>
        <w:rPr>
          <w:rFonts w:ascii="Times New Roman" w:hAnsi="Times New Roman" w:cs="Times New Roman"/>
          <w:bCs/>
          <w:sz w:val="24"/>
          <w:szCs w:val="24"/>
        </w:rPr>
        <w:t>que trata el tema de la v</w:t>
      </w:r>
      <w:r w:rsidR="00F565BB">
        <w:rPr>
          <w:rFonts w:ascii="Times New Roman" w:hAnsi="Times New Roman" w:cs="Times New Roman"/>
          <w:bCs/>
          <w:sz w:val="24"/>
          <w:szCs w:val="24"/>
        </w:rPr>
        <w:t>iolencia contra la mujer</w:t>
      </w:r>
      <w:r>
        <w:rPr>
          <w:rFonts w:ascii="Times New Roman" w:hAnsi="Times New Roman" w:cs="Times New Roman"/>
          <w:bCs/>
          <w:sz w:val="24"/>
          <w:szCs w:val="24"/>
        </w:rPr>
        <w:t>,</w:t>
      </w:r>
      <w:r w:rsidR="00F565BB">
        <w:rPr>
          <w:rFonts w:ascii="Times New Roman" w:hAnsi="Times New Roman" w:cs="Times New Roman"/>
          <w:bCs/>
          <w:sz w:val="24"/>
          <w:szCs w:val="24"/>
        </w:rPr>
        <w:t xml:space="preserve"> </w:t>
      </w:r>
      <w:r>
        <w:rPr>
          <w:rFonts w:ascii="Times New Roman" w:hAnsi="Times New Roman" w:cs="Times New Roman"/>
          <w:bCs/>
          <w:sz w:val="24"/>
          <w:szCs w:val="24"/>
        </w:rPr>
        <w:t>así</w:t>
      </w:r>
      <w:r w:rsidR="00F565BB">
        <w:rPr>
          <w:rFonts w:ascii="Times New Roman" w:hAnsi="Times New Roman" w:cs="Times New Roman"/>
          <w:bCs/>
          <w:sz w:val="24"/>
          <w:szCs w:val="24"/>
        </w:rPr>
        <w:t xml:space="preserve"> una serie de políticas, instituciones, organizaciones y servicios para su atención. Razón por lo cual, a partir del año 1996, en nuestro país, con la promulgación de la Ley Contra la Violencia Doméstica, se promueve la especialización de los juzgados en materia de violencia doméstica, estableciendo que el otorgamiento de las medidas de protección resulta ser una obligación del Poder Judicial con el fin de proteger la vida, la integridad y la dignidad de las víctimas.</w:t>
      </w:r>
    </w:p>
    <w:p w14:paraId="0DD68A0B" w14:textId="77777777" w:rsidR="00F565BB" w:rsidRDefault="00F565BB" w:rsidP="00F565B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Ese mismo año, se crea la Comisión Permanente para el Seguimiento y Prevención de la Violencia Intrafamiliar, con el ánimo de coordinar interinstitucionalmente el abordaje de la Violencia Doméstica tanto con el Instituto Nacional de las Mujeres (INAMU) como con otras instituciones. De esta manera, en el año 2001, nace la Comisión de Género del Poder Judicial por acuerdo de Corte Plena en el año 2001, según el acta </w:t>
      </w:r>
      <w:proofErr w:type="gramStart"/>
      <w:r>
        <w:rPr>
          <w:rFonts w:ascii="Times New Roman" w:hAnsi="Times New Roman" w:cs="Times New Roman"/>
          <w:bCs/>
          <w:sz w:val="24"/>
          <w:szCs w:val="24"/>
        </w:rPr>
        <w:t>N.º</w:t>
      </w:r>
      <w:proofErr w:type="gramEnd"/>
      <w:r>
        <w:rPr>
          <w:rFonts w:ascii="Times New Roman" w:hAnsi="Times New Roman" w:cs="Times New Roman"/>
          <w:bCs/>
          <w:sz w:val="24"/>
          <w:szCs w:val="24"/>
        </w:rPr>
        <w:t xml:space="preserve">12 del 2 de abril </w:t>
      </w:r>
      <w:r>
        <w:rPr>
          <w:rFonts w:ascii="Times New Roman" w:hAnsi="Times New Roman" w:cs="Times New Roman"/>
          <w:bCs/>
          <w:sz w:val="24"/>
          <w:szCs w:val="24"/>
        </w:rPr>
        <w:lastRenderedPageBreak/>
        <w:t>del mismo año, en su artículo VII, sesión en la que se resaltó la Declaración del Primer Encuentro de Magistradas de las Cortes Supremas de Justicia y Cortes Constitucionales de América Latina y el Caribe, con base en la cual se acordó lo siguiente:</w:t>
      </w:r>
    </w:p>
    <w:p w14:paraId="7A7A81EA" w14:textId="77777777" w:rsidR="00F565BB" w:rsidRDefault="00F565BB" w:rsidP="00F565B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Nombrar en una próxima reunión una Comisión para que se encargue de diseñar una política integral que homogenice la perspectiva de género en el Poder Judicial y articule los servicios existentes para la atención de violaciones a derechos derivados de la condición de género de las personas. (Corte Plena, 2001)</w:t>
      </w:r>
    </w:p>
    <w:p w14:paraId="48D6D782" w14:textId="77777777" w:rsidR="00F565BB" w:rsidRDefault="00F565BB" w:rsidP="00F565B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En el 2005, es aprobada la Política de Igualdad de Género en el Poder Judicial por Corte Plena en sesión N.º 34-05, del 07 de noviembre del 2005, articulo X1V. Asimismo, se modifica el término equidad por el de igualdad, por Corte Plena, en sesión N.º 38-13, del 09 de setiembre del 2013, artículo XIV, cuya finalidad es la siguiente:</w:t>
      </w:r>
    </w:p>
    <w:p w14:paraId="75166679" w14:textId="7FAC60A2" w:rsidR="00F565BB" w:rsidRDefault="00F565BB" w:rsidP="00F565BB">
      <w:pPr>
        <w:pStyle w:val="Standard"/>
        <w:spacing w:after="0" w:line="360" w:lineRule="auto"/>
        <w:ind w:left="709"/>
        <w:jc w:val="both"/>
      </w:pPr>
      <w:r>
        <w:rPr>
          <w:rFonts w:ascii="Times New Roman" w:hAnsi="Times New Roman" w:cs="Times New Roman"/>
          <w:bCs/>
          <w:sz w:val="24"/>
          <w:szCs w:val="24"/>
        </w:rPr>
        <w:t>Garantizar la igualdad de oportunidades para mujeres y hombres y la no discriminación de género en todas las esferas del Poder Judicial, en la prestación del servicio público de administración de justicia y en su funcionamiento interno. (Poder Judicial, 2013</w:t>
      </w:r>
      <w:r w:rsidR="00FE2854">
        <w:rPr>
          <w:rFonts w:ascii="Times New Roman" w:hAnsi="Times New Roman" w:cs="Times New Roman"/>
          <w:bCs/>
          <w:sz w:val="24"/>
          <w:szCs w:val="24"/>
        </w:rPr>
        <w:t xml:space="preserve">, </w:t>
      </w:r>
      <w:proofErr w:type="gramStart"/>
      <w:r w:rsidR="00FE2854">
        <w:rPr>
          <w:rFonts w:ascii="Times New Roman" w:hAnsi="Times New Roman" w:cs="Times New Roman"/>
          <w:bCs/>
          <w:sz w:val="24"/>
          <w:szCs w:val="24"/>
        </w:rPr>
        <w:t>sesión N.º</w:t>
      </w:r>
      <w:proofErr w:type="gramEnd"/>
      <w:r w:rsidR="00FE2854">
        <w:rPr>
          <w:rFonts w:ascii="Times New Roman" w:hAnsi="Times New Roman" w:cs="Times New Roman"/>
          <w:bCs/>
          <w:sz w:val="24"/>
          <w:szCs w:val="24"/>
        </w:rPr>
        <w:t xml:space="preserve"> 34-05, artículo X1V</w:t>
      </w:r>
      <w:r>
        <w:rPr>
          <w:rFonts w:ascii="Times New Roman" w:hAnsi="Times New Roman" w:cs="Times New Roman"/>
          <w:bCs/>
          <w:sz w:val="24"/>
          <w:szCs w:val="24"/>
        </w:rPr>
        <w:t>)</w:t>
      </w:r>
    </w:p>
    <w:p w14:paraId="77661E66" w14:textId="77777777" w:rsidR="00F565BB" w:rsidRDefault="00F565BB" w:rsidP="00F565B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Finalmente, el Consejo Superior del Poder Judicial, según el acta de sesión del 30 de agosto 2007 N.º 64, aprueba la propuesta de formular una Política Integral en materia de Violencia Intrafamiliar, dirigida a la atención de víctimas de violencia doméstica funcionarios de la institución (Observatorio Judicial, 2008).</w:t>
      </w:r>
    </w:p>
    <w:p w14:paraId="23A9255E" w14:textId="77777777" w:rsidR="00F565BB" w:rsidRDefault="00F565BB" w:rsidP="00F565B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La materia relacionada a la violencia producida dentro de una relación de pareja antes de 1996 fue abordada por los Juzgados de Familia, pero una vez aprobada la Ley Contra la Violencia Doméstica N.º 7586, se hizo necesaria la creación de juzgados especializados en la materia, lo cual ocurrió en el año 2000, lo cual posteriormente se replicó en cada una de las cabeceras de provincia a lo largo del territorio.</w:t>
      </w:r>
    </w:p>
    <w:p w14:paraId="2B0B59CC" w14:textId="77777777" w:rsidR="00F565BB" w:rsidRDefault="00F565BB" w:rsidP="00F565B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La finalidad de los Juzgados Contra la V. D. o V. I. es garantizar la aplicación de la Ley Contra la Violencia Doméstica e Intrafamiliar en aras de garantizar la vida, la integridad y dignidad de las víctimas. Para ello, se ha estandarizado el proceso de atención de la siguiente manera, considerando que la Ley contra la Violencia Doméstica fue reformada en diciembre del año 2010, mediante la Ley N.º 8925, que modificó los artículos 1, 3, 4, 5, 6, 12, 17 y 20, siendo su trámite como sigue:</w:t>
      </w:r>
    </w:p>
    <w:p w14:paraId="6D80A7FF" w14:textId="77777777" w:rsidR="00F565BB" w:rsidRDefault="00F565BB" w:rsidP="00F565BB">
      <w:pPr>
        <w:pStyle w:val="Prrafodelista"/>
        <w:numPr>
          <w:ilvl w:val="0"/>
          <w:numId w:val="29"/>
        </w:numPr>
        <w:tabs>
          <w:tab w:val="left" w:pos="1134"/>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lastRenderedPageBreak/>
        <w:t>Solicitud de medidas de protección: realizada de manera verbal o escrita. Se indican datos de identificación de la víctima, hechos a denunciar, pruebas, pretensiones (que medidas solicita) y se establece lugar para notificaciones.</w:t>
      </w:r>
    </w:p>
    <w:p w14:paraId="7BB9C703" w14:textId="77777777" w:rsidR="00F565BB" w:rsidRDefault="00F565BB" w:rsidP="00F565BB">
      <w:pPr>
        <w:pStyle w:val="Prrafodelista"/>
        <w:numPr>
          <w:ilvl w:val="0"/>
          <w:numId w:val="3"/>
        </w:numPr>
        <w:tabs>
          <w:tab w:val="left" w:pos="1134"/>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 Aplicación de medidas y plazo para audiencia: el juez o la jueza dicta de inmediato las medidas de protección provisionales correspondientes. En la resolución que ordena las medidas provisionales, la autoridad judicial indica al presunto agresor la posibilidad de solicitar audiencia de recepción de prueba dentro de los cinco días al que fue notificado del auto que dictó medidas cautelares y, de no hacerlo automáticamente, las medidas se prorrogan por un año.</w:t>
      </w:r>
    </w:p>
    <w:p w14:paraId="2114B527" w14:textId="77777777" w:rsidR="00F565BB" w:rsidRDefault="00F565BB" w:rsidP="00F565BB">
      <w:pPr>
        <w:pStyle w:val="Prrafodelista"/>
        <w:numPr>
          <w:ilvl w:val="0"/>
          <w:numId w:val="3"/>
        </w:numPr>
        <w:tabs>
          <w:tab w:val="left" w:pos="1134"/>
        </w:tabs>
        <w:spacing w:after="0" w:line="360" w:lineRule="auto"/>
        <w:ind w:left="0" w:firstLine="709"/>
        <w:jc w:val="both"/>
      </w:pPr>
      <w:r>
        <w:rPr>
          <w:rFonts w:ascii="Times New Roman" w:hAnsi="Times New Roman" w:cs="Times New Roman"/>
          <w:bCs/>
          <w:sz w:val="24"/>
          <w:szCs w:val="24"/>
        </w:rPr>
        <w:t xml:space="preserve">Si se realiza la audiencia, ambas pueden presentar pruebas ante la persona juzgadora, quien valorará la prueba y podrá solicitar dictámenes periciales y valoraciones </w:t>
      </w:r>
      <w:proofErr w:type="gramStart"/>
      <w:r>
        <w:rPr>
          <w:rFonts w:ascii="Times New Roman" w:hAnsi="Times New Roman" w:cs="Times New Roman"/>
          <w:bCs/>
          <w:sz w:val="24"/>
          <w:szCs w:val="24"/>
        </w:rPr>
        <w:t>médico-legales</w:t>
      </w:r>
      <w:proofErr w:type="gramEnd"/>
      <w:r>
        <w:rPr>
          <w:rFonts w:ascii="Times New Roman" w:hAnsi="Times New Roman" w:cs="Times New Roman"/>
          <w:bCs/>
          <w:sz w:val="24"/>
          <w:szCs w:val="24"/>
        </w:rPr>
        <w:t>. Evacuada la prueba, se determina si las medidas otorgadas permanecen en ejecución o se levantan. La resolución final o sentencia es recurrible ante el Tribunal de Familia.</w:t>
      </w:r>
    </w:p>
    <w:p w14:paraId="00E2C4AD" w14:textId="5830E289" w:rsidR="00FE2854" w:rsidRDefault="00F565BB" w:rsidP="00333D21">
      <w:pPr>
        <w:pStyle w:val="Prrafodelista"/>
        <w:numPr>
          <w:ilvl w:val="0"/>
          <w:numId w:val="3"/>
        </w:numPr>
        <w:tabs>
          <w:tab w:val="left" w:pos="1134"/>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 Seguimiento de las medidas de protección: en coordinación con el Programa de Violencia Doméstica del Departamento de Trabajo Social y Psicología, profesionales en trabajo social brindaban seguimiento a la situación de la víctima, valorando el contexto familiar, así como el cumplimiento o no de las medidas de protección dictadas.</w:t>
      </w:r>
    </w:p>
    <w:p w14:paraId="3C454274" w14:textId="77777777" w:rsidR="00FE2854" w:rsidRDefault="00FE2854" w:rsidP="00333D21">
      <w:pPr>
        <w:pStyle w:val="Standard"/>
        <w:spacing w:after="0" w:line="360" w:lineRule="auto"/>
        <w:ind w:firstLine="405"/>
        <w:jc w:val="both"/>
        <w:rPr>
          <w:rFonts w:ascii="Times New Roman" w:eastAsia="Calibri" w:hAnsi="Times New Roman" w:cs="Times New Roman"/>
          <w:bCs/>
          <w:sz w:val="24"/>
          <w:szCs w:val="24"/>
        </w:rPr>
      </w:pPr>
    </w:p>
    <w:p w14:paraId="22E448DA" w14:textId="6B411EBE" w:rsidR="00FE2854" w:rsidRDefault="00FE2854" w:rsidP="00333D21">
      <w:pPr>
        <w:pStyle w:val="Standard"/>
        <w:spacing w:after="0" w:line="360" w:lineRule="auto"/>
        <w:ind w:firstLine="405"/>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Lo anterior significa que este juzgado asume el tema de violencia doméstica de seis cantones de los veinte que conforman la provincia de San José, lo cual permitirá trabajar adecuadamente el tema, dada la importante cantidad de casos que le compete atender.</w:t>
      </w:r>
    </w:p>
    <w:p w14:paraId="666F802D" w14:textId="77777777" w:rsidR="00FE2854" w:rsidRPr="00333D21" w:rsidRDefault="00FE2854" w:rsidP="00333D21">
      <w:pPr>
        <w:pStyle w:val="Prrafodelista"/>
        <w:tabs>
          <w:tab w:val="left" w:pos="1134"/>
        </w:tabs>
        <w:spacing w:after="0" w:line="360" w:lineRule="auto"/>
        <w:ind w:left="709"/>
        <w:jc w:val="both"/>
        <w:rPr>
          <w:rFonts w:ascii="Times New Roman" w:hAnsi="Times New Roman" w:cs="Times New Roman"/>
          <w:bCs/>
          <w:sz w:val="24"/>
          <w:szCs w:val="24"/>
          <w:lang w:val="es-SV"/>
        </w:rPr>
      </w:pPr>
    </w:p>
    <w:p w14:paraId="00FDD600" w14:textId="498BAA83" w:rsidR="00E10342" w:rsidRPr="00450544" w:rsidRDefault="00D31DDB" w:rsidP="00450544">
      <w:pPr>
        <w:pStyle w:val="Ttulo2"/>
      </w:pPr>
      <w:bookmarkStart w:id="41" w:name="__RefHeading__27433_1894434827"/>
      <w:bookmarkStart w:id="42" w:name="_Toc61276969"/>
      <w:bookmarkStart w:id="43" w:name="_Toc45205377"/>
      <w:bookmarkStart w:id="44" w:name="_Toc62463318"/>
      <w:bookmarkStart w:id="45" w:name="_Toc62476054"/>
      <w:bookmarkStart w:id="46" w:name="_Toc62476260"/>
      <w:bookmarkStart w:id="47" w:name="_Toc63688927"/>
      <w:r w:rsidRPr="00450544">
        <w:t xml:space="preserve">1.4. Antecedentes </w:t>
      </w:r>
      <w:r w:rsidR="00450544" w:rsidRPr="00450544">
        <w:t>c</w:t>
      </w:r>
      <w:r w:rsidRPr="00450544">
        <w:t>ontextuales</w:t>
      </w:r>
      <w:bookmarkEnd w:id="41"/>
      <w:bookmarkEnd w:id="42"/>
      <w:bookmarkEnd w:id="43"/>
      <w:bookmarkEnd w:id="44"/>
      <w:bookmarkEnd w:id="45"/>
      <w:bookmarkEnd w:id="46"/>
      <w:bookmarkEnd w:id="47"/>
    </w:p>
    <w:p w14:paraId="25076E41" w14:textId="75D94BE9" w:rsidR="00E10342" w:rsidRPr="00333D21" w:rsidRDefault="00D31DDB" w:rsidP="00450544">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La violencia que se ejerce por parte de los hombres contra las mujeres</w:t>
      </w:r>
      <w:r w:rsidR="0081049F">
        <w:rPr>
          <w:rFonts w:ascii="Times New Roman" w:eastAsia="Calibri" w:hAnsi="Times New Roman" w:cs="Times New Roman"/>
          <w:bCs/>
          <w:sz w:val="24"/>
          <w:szCs w:val="24"/>
        </w:rPr>
        <w:t xml:space="preserve"> resulta ser</w:t>
      </w:r>
      <w:r>
        <w:rPr>
          <w:rFonts w:ascii="Times New Roman" w:eastAsia="Calibri" w:hAnsi="Times New Roman" w:cs="Times New Roman"/>
          <w:bCs/>
          <w:sz w:val="24"/>
          <w:szCs w:val="24"/>
        </w:rPr>
        <w:t xml:space="preserve"> un tema ancestral</w:t>
      </w:r>
      <w:r w:rsidR="0081049F">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que responde a la construcción social</w:t>
      </w:r>
      <w:r w:rsidR="0032462B">
        <w:rPr>
          <w:rFonts w:ascii="Times New Roman" w:eastAsia="Calibri" w:hAnsi="Times New Roman" w:cs="Times New Roman"/>
          <w:bCs/>
          <w:sz w:val="24"/>
          <w:szCs w:val="24"/>
        </w:rPr>
        <w:t xml:space="preserve">, en donde </w:t>
      </w:r>
      <w:r w:rsidR="0081049F">
        <w:rPr>
          <w:rFonts w:ascii="Times New Roman" w:eastAsia="Calibri" w:hAnsi="Times New Roman" w:cs="Times New Roman"/>
          <w:bCs/>
          <w:sz w:val="24"/>
          <w:szCs w:val="24"/>
        </w:rPr>
        <w:t xml:space="preserve">el </w:t>
      </w:r>
      <w:r w:rsidR="00951B74">
        <w:rPr>
          <w:rFonts w:ascii="Times New Roman" w:eastAsia="Calibri" w:hAnsi="Times New Roman" w:cs="Times New Roman"/>
          <w:bCs/>
          <w:sz w:val="24"/>
          <w:szCs w:val="24"/>
        </w:rPr>
        <w:t xml:space="preserve">sistema </w:t>
      </w:r>
      <w:proofErr w:type="spellStart"/>
      <w:r w:rsidR="00951B74">
        <w:rPr>
          <w:rFonts w:ascii="Times New Roman" w:eastAsia="Calibri" w:hAnsi="Times New Roman" w:cs="Times New Roman"/>
          <w:bCs/>
          <w:sz w:val="24"/>
          <w:szCs w:val="24"/>
        </w:rPr>
        <w:t>patrialcal</w:t>
      </w:r>
      <w:proofErr w:type="spellEnd"/>
      <w:r w:rsidR="00951B74">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ha definido como deben ser las relaciones entre hombre y mujeres. Esta construcción social se transmite por generaciones</w:t>
      </w:r>
      <w:r w:rsidR="00173625">
        <w:rPr>
          <w:rFonts w:ascii="Times New Roman" w:eastAsia="Calibri" w:hAnsi="Times New Roman" w:cs="Times New Roman"/>
          <w:bCs/>
          <w:sz w:val="24"/>
          <w:szCs w:val="24"/>
        </w:rPr>
        <w:t xml:space="preserve">, </w:t>
      </w:r>
      <w:r w:rsidR="00A00A1D" w:rsidRPr="00333D21">
        <w:rPr>
          <w:rFonts w:ascii="Times New Roman" w:eastAsia="Calibri" w:hAnsi="Times New Roman" w:cs="Times New Roman"/>
          <w:bCs/>
          <w:sz w:val="24"/>
          <w:szCs w:val="24"/>
        </w:rPr>
        <w:t xml:space="preserve">es una construcción </w:t>
      </w:r>
      <w:r w:rsidR="00FE2854" w:rsidRPr="00333D21">
        <w:rPr>
          <w:rFonts w:ascii="Times New Roman" w:eastAsia="Calibri" w:hAnsi="Times New Roman" w:cs="Times New Roman"/>
          <w:bCs/>
          <w:sz w:val="24"/>
          <w:szCs w:val="24"/>
        </w:rPr>
        <w:t xml:space="preserve">de relaciones </w:t>
      </w:r>
      <w:r w:rsidR="00A00A1D" w:rsidRPr="00333D21">
        <w:rPr>
          <w:rFonts w:ascii="Times New Roman" w:eastAsia="Calibri" w:hAnsi="Times New Roman" w:cs="Times New Roman"/>
          <w:bCs/>
          <w:sz w:val="24"/>
          <w:szCs w:val="24"/>
        </w:rPr>
        <w:t xml:space="preserve">sociales, </w:t>
      </w:r>
      <w:proofErr w:type="gramStart"/>
      <w:r w:rsidR="00A00A1D" w:rsidRPr="00333D21">
        <w:rPr>
          <w:rFonts w:ascii="Times New Roman" w:eastAsia="Calibri" w:hAnsi="Times New Roman" w:cs="Times New Roman"/>
          <w:bCs/>
          <w:sz w:val="24"/>
          <w:szCs w:val="24"/>
        </w:rPr>
        <w:t>hábitos</w:t>
      </w:r>
      <w:r w:rsidR="001768B3">
        <w:rPr>
          <w:rFonts w:ascii="Times New Roman" w:eastAsia="Calibri" w:hAnsi="Times New Roman" w:cs="Times New Roman"/>
          <w:bCs/>
          <w:sz w:val="24"/>
          <w:szCs w:val="24"/>
        </w:rPr>
        <w:t xml:space="preserve"> </w:t>
      </w:r>
      <w:r w:rsidR="00FE2854" w:rsidRPr="00333D21">
        <w:rPr>
          <w:rFonts w:ascii="Times New Roman" w:eastAsia="Calibri" w:hAnsi="Times New Roman" w:cs="Times New Roman"/>
          <w:bCs/>
          <w:sz w:val="24"/>
          <w:szCs w:val="24"/>
        </w:rPr>
        <w:t xml:space="preserve"> y</w:t>
      </w:r>
      <w:proofErr w:type="gramEnd"/>
      <w:r w:rsidR="00FE2854" w:rsidRPr="00333D21">
        <w:rPr>
          <w:rFonts w:ascii="Times New Roman" w:eastAsia="Calibri" w:hAnsi="Times New Roman" w:cs="Times New Roman"/>
          <w:bCs/>
          <w:sz w:val="24"/>
          <w:szCs w:val="24"/>
        </w:rPr>
        <w:t xml:space="preserve"> estructuras, </w:t>
      </w:r>
      <w:r w:rsidR="00A00A1D" w:rsidRPr="00333D21">
        <w:rPr>
          <w:rFonts w:ascii="Times New Roman" w:eastAsia="Calibri" w:hAnsi="Times New Roman" w:cs="Times New Roman"/>
          <w:bCs/>
          <w:sz w:val="24"/>
          <w:szCs w:val="24"/>
        </w:rPr>
        <w:t>así como</w:t>
      </w:r>
      <w:r w:rsidR="00FE2854" w:rsidRPr="00333D21">
        <w:rPr>
          <w:rFonts w:ascii="Times New Roman" w:eastAsia="Calibri" w:hAnsi="Times New Roman" w:cs="Times New Roman"/>
          <w:bCs/>
          <w:sz w:val="24"/>
          <w:szCs w:val="24"/>
        </w:rPr>
        <w:t xml:space="preserve"> </w:t>
      </w:r>
      <w:r w:rsidR="00A00A1D" w:rsidRPr="00333D21">
        <w:rPr>
          <w:rFonts w:ascii="Times New Roman" w:eastAsia="Calibri" w:hAnsi="Times New Roman" w:cs="Times New Roman"/>
          <w:bCs/>
          <w:sz w:val="24"/>
          <w:szCs w:val="24"/>
        </w:rPr>
        <w:t>apreciaciones simbólicas</w:t>
      </w:r>
      <w:r w:rsidR="00FE2854" w:rsidRPr="00333D21">
        <w:rPr>
          <w:rFonts w:ascii="Times New Roman" w:eastAsia="Calibri" w:hAnsi="Times New Roman" w:cs="Times New Roman"/>
          <w:bCs/>
          <w:sz w:val="24"/>
          <w:szCs w:val="24"/>
        </w:rPr>
        <w:t xml:space="preserve">, </w:t>
      </w:r>
      <w:r w:rsidR="00A00A1D" w:rsidRPr="00333D21">
        <w:rPr>
          <w:rFonts w:ascii="Times New Roman" w:eastAsia="Calibri" w:hAnsi="Times New Roman" w:cs="Times New Roman"/>
          <w:bCs/>
          <w:sz w:val="24"/>
          <w:szCs w:val="24"/>
        </w:rPr>
        <w:t xml:space="preserve">internalización de roles y formación </w:t>
      </w:r>
      <w:r w:rsidR="00FE2854" w:rsidRPr="00333D21">
        <w:rPr>
          <w:rFonts w:ascii="Times New Roman" w:eastAsia="Calibri" w:hAnsi="Times New Roman" w:cs="Times New Roman"/>
          <w:bCs/>
          <w:sz w:val="24"/>
          <w:szCs w:val="24"/>
        </w:rPr>
        <w:t>de identidades individuales; lo cual s</w:t>
      </w:r>
      <w:r w:rsidR="00173625" w:rsidRPr="00333D21">
        <w:rPr>
          <w:rFonts w:ascii="Times New Roman" w:eastAsia="Calibri" w:hAnsi="Times New Roman" w:cs="Times New Roman"/>
          <w:bCs/>
          <w:sz w:val="24"/>
          <w:szCs w:val="24"/>
        </w:rPr>
        <w:t>e refleja en la vida cotidiana. (Berger y Luckmann</w:t>
      </w:r>
      <w:r w:rsidR="00FE2854" w:rsidRPr="00333D21">
        <w:rPr>
          <w:rFonts w:ascii="Times New Roman" w:eastAsia="Calibri" w:hAnsi="Times New Roman" w:cs="Times New Roman"/>
          <w:bCs/>
          <w:sz w:val="24"/>
          <w:szCs w:val="24"/>
        </w:rPr>
        <w:t>,</w:t>
      </w:r>
      <w:r w:rsidR="00173625" w:rsidRPr="00333D21">
        <w:rPr>
          <w:rFonts w:ascii="Times New Roman" w:eastAsia="Calibri" w:hAnsi="Times New Roman" w:cs="Times New Roman"/>
          <w:bCs/>
          <w:sz w:val="24"/>
          <w:szCs w:val="24"/>
        </w:rPr>
        <w:t>1968, p.13)</w:t>
      </w:r>
    </w:p>
    <w:p w14:paraId="6DA5F9DD" w14:textId="4DCC704F" w:rsidR="00E10342" w:rsidRPr="00450544" w:rsidRDefault="00D31DDB" w:rsidP="00450544">
      <w:pPr>
        <w:pStyle w:val="Standard"/>
        <w:spacing w:after="0" w:line="360" w:lineRule="auto"/>
        <w:ind w:firstLine="709"/>
        <w:jc w:val="both"/>
      </w:pPr>
      <w:r>
        <w:rPr>
          <w:rFonts w:ascii="Times New Roman" w:eastAsia="Calibri" w:hAnsi="Times New Roman" w:cs="Times New Roman"/>
          <w:bCs/>
          <w:sz w:val="24"/>
          <w:szCs w:val="24"/>
        </w:rPr>
        <w:lastRenderedPageBreak/>
        <w:t xml:space="preserve">Ahora bien, este apartado de antecedentes está estructurado en tres partes. </w:t>
      </w:r>
      <w:r w:rsidR="00C336F2">
        <w:rPr>
          <w:rFonts w:ascii="Times New Roman" w:eastAsia="Calibri" w:hAnsi="Times New Roman" w:cs="Times New Roman"/>
          <w:bCs/>
          <w:sz w:val="24"/>
          <w:szCs w:val="24"/>
        </w:rPr>
        <w:t>En primera instancia,</w:t>
      </w:r>
      <w:r>
        <w:rPr>
          <w:rFonts w:ascii="Times New Roman" w:eastAsia="Calibri" w:hAnsi="Times New Roman" w:cs="Times New Roman"/>
          <w:bCs/>
          <w:sz w:val="24"/>
          <w:szCs w:val="24"/>
        </w:rPr>
        <w:t xml:space="preserve"> se menciona el proceso histórico y del interés mundial por la igualdad de las mujeres en todos los ámbitos; en segundo lugar, se analiza el desarrollo institucional que se ha dado en nuestro país, que inicia con el Centro Nacional para el desarrollo de la Mujer y la Familia, Plan Nacional para la Atención y Prevención de la Violencia Intrafamiliar (1995); la Ley contra la Violencia Doméstica (1996); y la Ley de Penalización de la Violencia contra las Mujeres, según la Defensoría de los Habitantes (2007). </w:t>
      </w:r>
      <w:r w:rsidR="00C336F2">
        <w:rPr>
          <w:rFonts w:ascii="Times New Roman" w:eastAsia="Calibri" w:hAnsi="Times New Roman" w:cs="Times New Roman"/>
          <w:bCs/>
          <w:sz w:val="24"/>
          <w:szCs w:val="24"/>
        </w:rPr>
        <w:t>Y,</w:t>
      </w:r>
      <w:r>
        <w:rPr>
          <w:rFonts w:ascii="Times New Roman" w:eastAsia="Calibri" w:hAnsi="Times New Roman" w:cs="Times New Roman"/>
          <w:bCs/>
          <w:sz w:val="24"/>
          <w:szCs w:val="24"/>
        </w:rPr>
        <w:t xml:space="preserve"> en tercer lugar, las estadísticas del Poder Judicial sobre violencia intrafamiliar, tal y como lo indica el Protocolo de Atención a Víctimas en los Juzgados de Violencia Doméstica, del Poder Judicial (2008).</w:t>
      </w:r>
    </w:p>
    <w:p w14:paraId="38845AC3" w14:textId="5DC073E8" w:rsidR="00E10342" w:rsidRPr="00450544" w:rsidRDefault="00450544" w:rsidP="00450544">
      <w:pPr>
        <w:pStyle w:val="Ttulo3"/>
      </w:pPr>
      <w:bookmarkStart w:id="48" w:name="__RefHeading__27435_1894434827"/>
      <w:bookmarkStart w:id="49" w:name="_Toc61276970"/>
      <w:bookmarkStart w:id="50" w:name="_Toc45205378"/>
      <w:bookmarkStart w:id="51" w:name="_Toc62463319"/>
      <w:bookmarkStart w:id="52" w:name="_Toc62476055"/>
      <w:bookmarkStart w:id="53" w:name="_Toc62476261"/>
      <w:bookmarkStart w:id="54" w:name="_Toc63688928"/>
      <w:r>
        <w:t>1.4.1 Proceso histórico y del interés mundial por la igualdad de las mujeres</w:t>
      </w:r>
      <w:bookmarkEnd w:id="48"/>
      <w:bookmarkEnd w:id="49"/>
      <w:bookmarkEnd w:id="50"/>
      <w:bookmarkEnd w:id="51"/>
      <w:bookmarkEnd w:id="52"/>
      <w:bookmarkEnd w:id="53"/>
      <w:bookmarkEnd w:id="54"/>
    </w:p>
    <w:p w14:paraId="489AC4E7" w14:textId="77777777" w:rsidR="00E10342" w:rsidRDefault="00D31DDB" w:rsidP="00450544">
      <w:pPr>
        <w:pStyle w:val="Standard"/>
        <w:spacing w:after="0" w:line="360" w:lineRule="auto"/>
        <w:ind w:firstLine="709"/>
        <w:jc w:val="both"/>
      </w:pPr>
      <w:r>
        <w:rPr>
          <w:rFonts w:ascii="Times New Roman" w:eastAsia="Calibri" w:hAnsi="Times New Roman" w:cs="Times New Roman"/>
          <w:bCs/>
          <w:sz w:val="24"/>
          <w:szCs w:val="24"/>
        </w:rPr>
        <w:t>Con el pasar del tiempo, se produce un cuestionamiento contra este orden establecido socialmente, dando pie a los movimientos sociales liderados por mujeres de gran relevancia.</w:t>
      </w:r>
    </w:p>
    <w:p w14:paraId="1FB67A2C" w14:textId="25FF3BBC" w:rsidR="006728E7" w:rsidRDefault="00D31DDB" w:rsidP="00450544">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Las mujeres</w:t>
      </w:r>
      <w:r w:rsidR="003F587A">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a través de la historia</w:t>
      </w:r>
      <w:r w:rsidR="003F587A">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han estado presentes en cambios relevantes para la humanidad</w:t>
      </w:r>
      <w:r w:rsidR="006728E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principalmente en la vida de las mujeres y </w:t>
      </w:r>
      <w:r w:rsidR="00C336F2">
        <w:rPr>
          <w:rFonts w:ascii="Times New Roman" w:eastAsia="Calibri" w:hAnsi="Times New Roman" w:cs="Times New Roman"/>
          <w:bCs/>
          <w:sz w:val="24"/>
          <w:szCs w:val="24"/>
        </w:rPr>
        <w:t>la niñez</w:t>
      </w:r>
      <w:r w:rsidR="006728E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que luego se han convertido en convenciones y leyes a su favor</w:t>
      </w:r>
      <w:r w:rsidR="006728E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Todo </w:t>
      </w:r>
      <w:r w:rsidR="00811FCF">
        <w:rPr>
          <w:rFonts w:ascii="Times New Roman" w:eastAsia="Calibri" w:hAnsi="Times New Roman" w:cs="Times New Roman"/>
          <w:bCs/>
          <w:sz w:val="24"/>
          <w:szCs w:val="24"/>
        </w:rPr>
        <w:t>inicia</w:t>
      </w:r>
      <w:r>
        <w:rPr>
          <w:rFonts w:ascii="Times New Roman" w:eastAsia="Calibri" w:hAnsi="Times New Roman" w:cs="Times New Roman"/>
          <w:bCs/>
          <w:sz w:val="24"/>
          <w:szCs w:val="24"/>
        </w:rPr>
        <w:t xml:space="preserve"> </w:t>
      </w:r>
      <w:r w:rsidR="00811FCF">
        <w:rPr>
          <w:rFonts w:ascii="Times New Roman" w:eastAsia="Calibri" w:hAnsi="Times New Roman" w:cs="Times New Roman"/>
          <w:bCs/>
          <w:sz w:val="24"/>
          <w:szCs w:val="24"/>
        </w:rPr>
        <w:t>propiamente</w:t>
      </w:r>
      <w:r>
        <w:rPr>
          <w:rFonts w:ascii="Times New Roman" w:eastAsia="Calibri" w:hAnsi="Times New Roman" w:cs="Times New Roman"/>
          <w:bCs/>
          <w:sz w:val="24"/>
          <w:szCs w:val="24"/>
        </w:rPr>
        <w:t xml:space="preserve"> en 1848</w:t>
      </w:r>
      <w:r w:rsidR="006728E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cuando dos mujeres </w:t>
      </w:r>
      <w:proofErr w:type="spellStart"/>
      <w:r>
        <w:rPr>
          <w:rFonts w:ascii="Times New Roman" w:eastAsia="Calibri" w:hAnsi="Times New Roman" w:cs="Times New Roman"/>
          <w:bCs/>
          <w:sz w:val="24"/>
          <w:szCs w:val="24"/>
        </w:rPr>
        <w:t>norteamericananas</w:t>
      </w:r>
      <w:proofErr w:type="spellEnd"/>
      <w:r w:rsidR="006728E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Elizabeth </w:t>
      </w:r>
      <w:proofErr w:type="spellStart"/>
      <w:r>
        <w:rPr>
          <w:rFonts w:ascii="Times New Roman" w:eastAsia="Calibri" w:hAnsi="Times New Roman" w:cs="Times New Roman"/>
          <w:bCs/>
          <w:sz w:val="24"/>
          <w:szCs w:val="24"/>
        </w:rPr>
        <w:t>Cady</w:t>
      </w:r>
      <w:proofErr w:type="spellEnd"/>
      <w:r>
        <w:rPr>
          <w:rFonts w:ascii="Times New Roman" w:eastAsia="Calibri" w:hAnsi="Times New Roman" w:cs="Times New Roman"/>
          <w:bCs/>
          <w:sz w:val="24"/>
          <w:szCs w:val="24"/>
        </w:rPr>
        <w:t xml:space="preserve"> Stanton y </w:t>
      </w:r>
      <w:proofErr w:type="spellStart"/>
      <w:r>
        <w:rPr>
          <w:rFonts w:ascii="Times New Roman" w:eastAsia="Calibri" w:hAnsi="Times New Roman" w:cs="Times New Roman"/>
          <w:bCs/>
          <w:sz w:val="24"/>
          <w:szCs w:val="24"/>
        </w:rPr>
        <w:t>Lucretia</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Mott</w:t>
      </w:r>
      <w:proofErr w:type="spellEnd"/>
      <w:r w:rsidR="006728E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convocan a la multitud en la ciudad de Seneca Falls, Nueva York, con la finalidad de discutir acerca de la prohibición existente para las </w:t>
      </w:r>
      <w:r w:rsidR="00BA60B9">
        <w:rPr>
          <w:rFonts w:ascii="Times New Roman" w:eastAsia="Calibri" w:hAnsi="Times New Roman" w:cs="Times New Roman"/>
          <w:bCs/>
          <w:sz w:val="24"/>
          <w:szCs w:val="24"/>
        </w:rPr>
        <w:t>mujeres</w:t>
      </w:r>
      <w:r>
        <w:rPr>
          <w:rFonts w:ascii="Times New Roman" w:eastAsia="Calibri" w:hAnsi="Times New Roman" w:cs="Times New Roman"/>
          <w:bCs/>
          <w:sz w:val="24"/>
          <w:szCs w:val="24"/>
        </w:rPr>
        <w:t xml:space="preserve"> para habar de la esclavitud en una convención</w:t>
      </w:r>
      <w:r w:rsidR="006728E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convirtiéndose esta en la primera </w:t>
      </w:r>
      <w:r w:rsidR="006728E7">
        <w:rPr>
          <w:rFonts w:ascii="Times New Roman" w:eastAsia="Calibri" w:hAnsi="Times New Roman" w:cs="Times New Roman"/>
          <w:bCs/>
          <w:sz w:val="24"/>
          <w:szCs w:val="24"/>
        </w:rPr>
        <w:t>c</w:t>
      </w:r>
      <w:r w:rsidR="00BA60B9">
        <w:rPr>
          <w:rFonts w:ascii="Times New Roman" w:eastAsia="Calibri" w:hAnsi="Times New Roman" w:cs="Times New Roman"/>
          <w:bCs/>
          <w:sz w:val="24"/>
          <w:szCs w:val="24"/>
        </w:rPr>
        <w:t>onvención</w:t>
      </w:r>
      <w:r>
        <w:rPr>
          <w:rFonts w:ascii="Times New Roman" w:eastAsia="Calibri" w:hAnsi="Times New Roman" w:cs="Times New Roman"/>
          <w:bCs/>
          <w:sz w:val="24"/>
          <w:szCs w:val="24"/>
        </w:rPr>
        <w:t xml:space="preserve"> para hablar sobre los derechos de las mujeres. </w:t>
      </w:r>
    </w:p>
    <w:p w14:paraId="0932AD2B" w14:textId="6DF2AE00" w:rsidR="00E10342" w:rsidRPr="00D72FE0" w:rsidRDefault="00D31DDB" w:rsidP="00450544">
      <w:pPr>
        <w:pStyle w:val="Standard"/>
        <w:spacing w:after="0" w:line="360" w:lineRule="auto"/>
        <w:ind w:firstLine="709"/>
        <w:jc w:val="both"/>
        <w:rPr>
          <w:rFonts w:ascii="Times New Roman" w:hAnsi="Times New Roman" w:cs="Times New Roman"/>
          <w:sz w:val="24"/>
          <w:szCs w:val="24"/>
        </w:rPr>
      </w:pPr>
      <w:r>
        <w:rPr>
          <w:rFonts w:ascii="Times New Roman" w:eastAsia="Calibri" w:hAnsi="Times New Roman" w:cs="Times New Roman"/>
          <w:bCs/>
          <w:sz w:val="24"/>
          <w:szCs w:val="24"/>
        </w:rPr>
        <w:t xml:space="preserve">Lo anterior permitió que se exigieran derechos civiles, sociales y políticos en la Declaración de Sentimientos y Resoluciones, naciendo en ese momento el primer movimiento de las mujeres </w:t>
      </w:r>
      <w:r w:rsidRPr="00D72FE0">
        <w:rPr>
          <w:rFonts w:ascii="Times New Roman" w:eastAsia="Calibri" w:hAnsi="Times New Roman" w:cs="Times New Roman"/>
          <w:bCs/>
          <w:sz w:val="24"/>
          <w:szCs w:val="24"/>
        </w:rPr>
        <w:t>en procura de la defensa de sus derechos.</w:t>
      </w:r>
      <w:r w:rsidR="00231C74">
        <w:rPr>
          <w:rFonts w:ascii="Times New Roman" w:eastAsia="Calibri" w:hAnsi="Times New Roman" w:cs="Times New Roman"/>
          <w:bCs/>
          <w:sz w:val="24"/>
          <w:szCs w:val="24"/>
        </w:rPr>
        <w:t xml:space="preserve"> (ONU Mujeres, 2020, párr. 1)</w:t>
      </w:r>
      <w:r w:rsidR="00DB507A">
        <w:rPr>
          <w:rFonts w:ascii="Times New Roman" w:eastAsia="Calibri" w:hAnsi="Times New Roman" w:cs="Times New Roman"/>
          <w:bCs/>
          <w:sz w:val="24"/>
          <w:szCs w:val="24"/>
        </w:rPr>
        <w:t>.</w:t>
      </w:r>
      <w:r w:rsidR="00D75232" w:rsidRPr="00D72FE0">
        <w:rPr>
          <w:rFonts w:ascii="Times New Roman" w:eastAsia="Calibri" w:hAnsi="Times New Roman" w:cs="Times New Roman"/>
          <w:bCs/>
          <w:sz w:val="24"/>
          <w:szCs w:val="24"/>
        </w:rPr>
        <w:t xml:space="preserve"> </w:t>
      </w:r>
    </w:p>
    <w:p w14:paraId="7C7368DB" w14:textId="6020B856" w:rsidR="00E10342" w:rsidRPr="001B0B1A" w:rsidRDefault="001B0B1A" w:rsidP="00450544">
      <w:pPr>
        <w:pStyle w:val="Standard"/>
        <w:spacing w:after="0" w:line="360" w:lineRule="auto"/>
        <w:ind w:firstLine="709"/>
        <w:jc w:val="both"/>
        <w:rPr>
          <w:rFonts w:ascii="Times New Roman" w:hAnsi="Times New Roman" w:cs="Times New Roman"/>
          <w:sz w:val="24"/>
          <w:szCs w:val="24"/>
        </w:rPr>
      </w:pPr>
      <w:r>
        <w:rPr>
          <w:rFonts w:ascii="Times New Roman" w:eastAsia="Calibri" w:hAnsi="Times New Roman" w:cs="Times New Roman"/>
          <w:bCs/>
          <w:sz w:val="24"/>
          <w:szCs w:val="24"/>
        </w:rPr>
        <w:t>Este</w:t>
      </w:r>
      <w:r w:rsidR="00D31DDB" w:rsidRPr="001B0B1A">
        <w:rPr>
          <w:rFonts w:ascii="Times New Roman" w:eastAsia="Calibri" w:hAnsi="Times New Roman" w:cs="Times New Roman"/>
          <w:bCs/>
          <w:sz w:val="24"/>
          <w:szCs w:val="24"/>
        </w:rPr>
        <w:t xml:space="preserve"> movimiento feminista </w:t>
      </w:r>
      <w:r w:rsidR="00BA60B9" w:rsidRPr="001B0B1A">
        <w:rPr>
          <w:rFonts w:ascii="Times New Roman" w:eastAsia="Calibri" w:hAnsi="Times New Roman" w:cs="Times New Roman"/>
          <w:bCs/>
          <w:sz w:val="24"/>
          <w:szCs w:val="24"/>
        </w:rPr>
        <w:t>continuará</w:t>
      </w:r>
      <w:r w:rsidR="00D31DDB" w:rsidRPr="001B0B1A">
        <w:rPr>
          <w:rFonts w:ascii="Times New Roman" w:eastAsia="Calibri" w:hAnsi="Times New Roman" w:cs="Times New Roman"/>
          <w:bCs/>
          <w:sz w:val="24"/>
          <w:szCs w:val="24"/>
        </w:rPr>
        <w:t xml:space="preserve"> defendiendo la igualdad de derechos sociales, políticos, legales y económicos de la mujer con relación al hombre. Principalmente en el año 1900</w:t>
      </w:r>
      <w:r>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xml:space="preserve"> se asocia</w:t>
      </w:r>
      <w:r>
        <w:rPr>
          <w:rFonts w:ascii="Times New Roman" w:eastAsia="Calibri" w:hAnsi="Times New Roman" w:cs="Times New Roman"/>
          <w:bCs/>
          <w:sz w:val="24"/>
          <w:szCs w:val="24"/>
        </w:rPr>
        <w:t xml:space="preserve"> el</w:t>
      </w:r>
      <w:r w:rsidR="00D31DDB" w:rsidRPr="001B0B1A">
        <w:rPr>
          <w:rFonts w:ascii="Times New Roman" w:eastAsia="Calibri" w:hAnsi="Times New Roman" w:cs="Times New Roman"/>
          <w:bCs/>
          <w:sz w:val="24"/>
          <w:szCs w:val="24"/>
        </w:rPr>
        <w:t xml:space="preserve"> feminismo a</w:t>
      </w:r>
      <w:r>
        <w:rPr>
          <w:rFonts w:ascii="Times New Roman" w:eastAsia="Calibri" w:hAnsi="Times New Roman" w:cs="Times New Roman"/>
          <w:bCs/>
          <w:sz w:val="24"/>
          <w:szCs w:val="24"/>
        </w:rPr>
        <w:t>l</w:t>
      </w:r>
      <w:r w:rsidR="00D31DDB" w:rsidRPr="001B0B1A">
        <w:rPr>
          <w:rFonts w:ascii="Times New Roman" w:eastAsia="Calibri" w:hAnsi="Times New Roman" w:cs="Times New Roman"/>
          <w:bCs/>
          <w:sz w:val="24"/>
          <w:szCs w:val="24"/>
        </w:rPr>
        <w:t xml:space="preserve"> sufragio femenino</w:t>
      </w:r>
      <w:r>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xml:space="preserve"> sin embargo, no pasará mucho tiempo para que este concepto cambie y se le asocie con “feminismo </w:t>
      </w:r>
      <w:proofErr w:type="spellStart"/>
      <w:r w:rsidR="00D31DDB" w:rsidRPr="001B0B1A">
        <w:rPr>
          <w:rFonts w:ascii="Times New Roman" w:eastAsia="Calibri" w:hAnsi="Times New Roman" w:cs="Times New Roman"/>
          <w:bCs/>
          <w:sz w:val="24"/>
          <w:szCs w:val="24"/>
        </w:rPr>
        <w:t>interseccional</w:t>
      </w:r>
      <w:proofErr w:type="spellEnd"/>
      <w:r w:rsidR="00D31DDB" w:rsidRPr="001B0B1A">
        <w:rPr>
          <w:rFonts w:ascii="Times New Roman" w:eastAsia="Calibri" w:hAnsi="Times New Roman" w:cs="Times New Roman"/>
          <w:bCs/>
          <w:sz w:val="24"/>
          <w:szCs w:val="24"/>
        </w:rPr>
        <w:t>”</w:t>
      </w:r>
      <w:r w:rsidR="00BA60B9" w:rsidRPr="001B0B1A">
        <w:rPr>
          <w:rFonts w:ascii="Times New Roman" w:eastAsia="Calibri" w:hAnsi="Times New Roman" w:cs="Times New Roman"/>
          <w:bCs/>
          <w:sz w:val="24"/>
          <w:szCs w:val="24"/>
        </w:rPr>
        <w:t xml:space="preserve"> </w:t>
      </w:r>
      <w:r w:rsidR="00D31DDB" w:rsidRPr="001B0B1A">
        <w:rPr>
          <w:rFonts w:ascii="Times New Roman" w:eastAsia="Calibri" w:hAnsi="Times New Roman" w:cs="Times New Roman"/>
          <w:bCs/>
          <w:sz w:val="24"/>
          <w:szCs w:val="24"/>
        </w:rPr>
        <w:t>y con ello</w:t>
      </w:r>
      <w:r>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xml:space="preserve"> el hecho de que las mujeres se ven enfrentadas a diversas </w:t>
      </w:r>
      <w:r w:rsidR="00BA60B9" w:rsidRPr="001B0B1A">
        <w:rPr>
          <w:rFonts w:ascii="Times New Roman" w:eastAsia="Calibri" w:hAnsi="Times New Roman" w:cs="Times New Roman"/>
          <w:bCs/>
          <w:sz w:val="24"/>
          <w:szCs w:val="24"/>
        </w:rPr>
        <w:t>manifestaciones</w:t>
      </w:r>
      <w:r w:rsidR="00D31DDB" w:rsidRPr="001B0B1A">
        <w:rPr>
          <w:rFonts w:ascii="Times New Roman" w:eastAsia="Calibri" w:hAnsi="Times New Roman" w:cs="Times New Roman"/>
          <w:bCs/>
          <w:sz w:val="24"/>
          <w:szCs w:val="24"/>
        </w:rPr>
        <w:t xml:space="preserve"> de </w:t>
      </w:r>
      <w:r w:rsidR="00D31DDB" w:rsidRPr="001B0B1A">
        <w:rPr>
          <w:rFonts w:ascii="Times New Roman" w:eastAsia="Calibri" w:hAnsi="Times New Roman" w:cs="Times New Roman"/>
          <w:bCs/>
          <w:sz w:val="24"/>
          <w:szCs w:val="24"/>
        </w:rPr>
        <w:lastRenderedPageBreak/>
        <w:t>discriminación</w:t>
      </w:r>
      <w:r>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xml:space="preserve"> entre ellas por razones de clase,</w:t>
      </w:r>
      <w:r w:rsidR="00BA60B9" w:rsidRPr="001B0B1A">
        <w:rPr>
          <w:rFonts w:ascii="Times New Roman" w:eastAsia="Calibri" w:hAnsi="Times New Roman" w:cs="Times New Roman"/>
          <w:bCs/>
          <w:sz w:val="24"/>
          <w:szCs w:val="24"/>
        </w:rPr>
        <w:t xml:space="preserve"> </w:t>
      </w:r>
      <w:r w:rsidR="00D31DDB" w:rsidRPr="001B0B1A">
        <w:rPr>
          <w:rFonts w:ascii="Times New Roman" w:eastAsia="Calibri" w:hAnsi="Times New Roman" w:cs="Times New Roman"/>
          <w:bCs/>
          <w:sz w:val="24"/>
          <w:szCs w:val="24"/>
        </w:rPr>
        <w:t xml:space="preserve">preferencia sexual </w:t>
      </w:r>
      <w:r w:rsidR="00DB507A">
        <w:rPr>
          <w:rFonts w:ascii="Times New Roman" w:eastAsia="Calibri" w:hAnsi="Times New Roman" w:cs="Times New Roman"/>
          <w:bCs/>
          <w:sz w:val="24"/>
          <w:szCs w:val="24"/>
        </w:rPr>
        <w:t xml:space="preserve">y </w:t>
      </w:r>
      <w:r w:rsidR="00D31DDB" w:rsidRPr="001B0B1A">
        <w:rPr>
          <w:rFonts w:ascii="Times New Roman" w:eastAsia="Calibri" w:hAnsi="Times New Roman" w:cs="Times New Roman"/>
          <w:bCs/>
          <w:sz w:val="24"/>
          <w:szCs w:val="24"/>
        </w:rPr>
        <w:t>etnia</w:t>
      </w:r>
      <w:r w:rsidR="00DB507A">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xml:space="preserve"> así como religión</w:t>
      </w:r>
      <w:r w:rsidR="00D75232" w:rsidRPr="001B0B1A">
        <w:rPr>
          <w:rFonts w:ascii="Times New Roman" w:eastAsia="Calibri" w:hAnsi="Times New Roman" w:cs="Times New Roman"/>
          <w:bCs/>
          <w:sz w:val="24"/>
          <w:szCs w:val="24"/>
        </w:rPr>
        <w:t>.</w:t>
      </w:r>
      <w:r w:rsidR="005F159A">
        <w:rPr>
          <w:rFonts w:ascii="Times New Roman" w:eastAsia="Calibri" w:hAnsi="Times New Roman" w:cs="Times New Roman"/>
          <w:bCs/>
          <w:sz w:val="24"/>
          <w:szCs w:val="24"/>
        </w:rPr>
        <w:t xml:space="preserve"> </w:t>
      </w:r>
      <w:r w:rsidR="005D0CA2">
        <w:rPr>
          <w:rFonts w:ascii="Times New Roman" w:eastAsia="Calibri" w:hAnsi="Times New Roman" w:cs="Times New Roman"/>
          <w:bCs/>
          <w:sz w:val="24"/>
          <w:szCs w:val="24"/>
        </w:rPr>
        <w:t>(ONU Mujeres, 2020, párr. 4).</w:t>
      </w:r>
    </w:p>
    <w:p w14:paraId="728A9AF5" w14:textId="383A7727" w:rsidR="00E10342" w:rsidRPr="001B0B1A" w:rsidRDefault="005D0CA2" w:rsidP="00450544">
      <w:pPr>
        <w:pStyle w:val="Standard"/>
        <w:spacing w:after="0" w:line="360" w:lineRule="auto"/>
        <w:ind w:firstLine="709"/>
        <w:jc w:val="both"/>
        <w:rPr>
          <w:rFonts w:ascii="Times New Roman" w:hAnsi="Times New Roman" w:cs="Times New Roman"/>
          <w:sz w:val="24"/>
          <w:szCs w:val="24"/>
        </w:rPr>
      </w:pPr>
      <w:r>
        <w:rPr>
          <w:rFonts w:ascii="Times New Roman" w:eastAsia="Calibri" w:hAnsi="Times New Roman" w:cs="Times New Roman"/>
          <w:bCs/>
          <w:sz w:val="24"/>
          <w:szCs w:val="24"/>
        </w:rPr>
        <w:t>P</w:t>
      </w:r>
      <w:r w:rsidR="00D31DDB" w:rsidRPr="001B0B1A">
        <w:rPr>
          <w:rFonts w:ascii="Times New Roman" w:eastAsia="Calibri" w:hAnsi="Times New Roman" w:cs="Times New Roman"/>
          <w:bCs/>
          <w:sz w:val="24"/>
          <w:szCs w:val="24"/>
        </w:rPr>
        <w:t>ara 1911</w:t>
      </w:r>
      <w:r>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xml:space="preserve"> en las ciudades de Austria, Dinamarca, Alemania y Suiza se une a más de un millón de personas en favor del sufragio femenino y de los derechos laborales surgiendo de este modo el primer Día Internacional de la Mujer (1911)</w:t>
      </w:r>
      <w:r w:rsidR="00C06592">
        <w:rPr>
          <w:rFonts w:ascii="Times New Roman" w:eastAsia="Calibri" w:hAnsi="Times New Roman" w:cs="Times New Roman"/>
          <w:bCs/>
          <w:sz w:val="24"/>
          <w:szCs w:val="24"/>
        </w:rPr>
        <w:t xml:space="preserve"> (ONU Mujeres, 2020, párr. 4)</w:t>
      </w:r>
      <w:r w:rsidR="00307AFC">
        <w:rPr>
          <w:rFonts w:ascii="Times New Roman" w:eastAsia="Calibri" w:hAnsi="Times New Roman" w:cs="Times New Roman"/>
          <w:bCs/>
          <w:sz w:val="24"/>
          <w:szCs w:val="24"/>
        </w:rPr>
        <w:t>.</w:t>
      </w:r>
    </w:p>
    <w:p w14:paraId="0412BC2E" w14:textId="433107F1" w:rsidR="00E10342" w:rsidRPr="001B0B1A" w:rsidRDefault="00D31DDB" w:rsidP="00450544">
      <w:pPr>
        <w:pStyle w:val="Standard"/>
        <w:spacing w:after="0" w:line="360" w:lineRule="auto"/>
        <w:ind w:firstLine="709"/>
        <w:jc w:val="both"/>
        <w:rPr>
          <w:rFonts w:ascii="Times New Roman" w:hAnsi="Times New Roman" w:cs="Times New Roman"/>
          <w:sz w:val="24"/>
          <w:szCs w:val="24"/>
        </w:rPr>
      </w:pPr>
      <w:r w:rsidRPr="001B0B1A">
        <w:rPr>
          <w:rFonts w:ascii="Times New Roman" w:eastAsia="Calibri" w:hAnsi="Times New Roman" w:cs="Times New Roman"/>
          <w:bCs/>
          <w:sz w:val="24"/>
          <w:szCs w:val="24"/>
        </w:rPr>
        <w:t>En 1920</w:t>
      </w:r>
      <w:r w:rsidR="00C06592">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en Egipto se alza una campaña en contra de la mutilación genital femenina y es por parte de la Sociedad de Médicos de Egipto, quienes alzan la voz y se enfrentan </w:t>
      </w:r>
      <w:r w:rsidR="00C06592">
        <w:rPr>
          <w:rFonts w:ascii="Times New Roman" w:eastAsia="Calibri" w:hAnsi="Times New Roman" w:cs="Times New Roman"/>
          <w:bCs/>
          <w:sz w:val="24"/>
          <w:szCs w:val="24"/>
        </w:rPr>
        <w:t>a tal</w:t>
      </w:r>
      <w:r w:rsidR="00C06592" w:rsidRPr="001B0B1A">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tradición</w:t>
      </w:r>
      <w:r w:rsidR="00A83E09">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explicando que resulta nociva para la salud de sus mujeres y niñas</w:t>
      </w:r>
      <w:r w:rsidR="00C06592">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w:t>
      </w:r>
      <w:r w:rsidR="00C06592">
        <w:rPr>
          <w:rFonts w:ascii="Times New Roman" w:eastAsia="Calibri" w:hAnsi="Times New Roman" w:cs="Times New Roman"/>
          <w:bCs/>
          <w:sz w:val="24"/>
          <w:szCs w:val="24"/>
        </w:rPr>
        <w:t xml:space="preserve">Dicha </w:t>
      </w:r>
      <w:r w:rsidRPr="001B0B1A">
        <w:rPr>
          <w:rFonts w:ascii="Times New Roman" w:eastAsia="Calibri" w:hAnsi="Times New Roman" w:cs="Times New Roman"/>
          <w:bCs/>
          <w:sz w:val="24"/>
          <w:szCs w:val="24"/>
        </w:rPr>
        <w:t xml:space="preserve">campaña </w:t>
      </w:r>
      <w:r w:rsidR="00C06592">
        <w:rPr>
          <w:rFonts w:ascii="Times New Roman" w:eastAsia="Calibri" w:hAnsi="Times New Roman" w:cs="Times New Roman"/>
          <w:bCs/>
          <w:sz w:val="24"/>
          <w:szCs w:val="24"/>
        </w:rPr>
        <w:t>ha</w:t>
      </w:r>
      <w:r w:rsidR="00C06592" w:rsidRPr="001B0B1A">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alcanzado la escucha a nivel mundial</w:t>
      </w:r>
      <w:r w:rsidR="00C06592">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pero aún</w:t>
      </w:r>
      <w:r w:rsidR="00A83E09">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se practica</w:t>
      </w:r>
      <w:r w:rsidR="00C06592">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se espera sea eliminada al clasificarse como violencia con el paso del tiempo.</w:t>
      </w:r>
    </w:p>
    <w:p w14:paraId="5DC9E16A" w14:textId="45229911" w:rsidR="00E10342" w:rsidRPr="001B0B1A" w:rsidRDefault="00D31DDB" w:rsidP="00450544">
      <w:pPr>
        <w:pStyle w:val="Standard"/>
        <w:spacing w:after="0" w:line="360" w:lineRule="auto"/>
        <w:ind w:firstLine="709"/>
        <w:jc w:val="both"/>
        <w:rPr>
          <w:rFonts w:ascii="Times New Roman" w:hAnsi="Times New Roman" w:cs="Times New Roman"/>
          <w:sz w:val="24"/>
          <w:szCs w:val="24"/>
        </w:rPr>
      </w:pPr>
      <w:r w:rsidRPr="001B0B1A">
        <w:rPr>
          <w:rFonts w:ascii="Times New Roman" w:eastAsia="Calibri" w:hAnsi="Times New Roman" w:cs="Times New Roman"/>
          <w:bCs/>
          <w:sz w:val="24"/>
          <w:szCs w:val="24"/>
        </w:rPr>
        <w:t>E</w:t>
      </w:r>
      <w:r w:rsidR="00C06592">
        <w:rPr>
          <w:rFonts w:ascii="Times New Roman" w:eastAsia="Calibri" w:hAnsi="Times New Roman" w:cs="Times New Roman"/>
          <w:bCs/>
          <w:sz w:val="24"/>
          <w:szCs w:val="24"/>
        </w:rPr>
        <w:t>n</w:t>
      </w:r>
      <w:r w:rsidRPr="001B0B1A">
        <w:rPr>
          <w:rFonts w:ascii="Times New Roman" w:eastAsia="Calibri" w:hAnsi="Times New Roman" w:cs="Times New Roman"/>
          <w:bCs/>
          <w:sz w:val="24"/>
          <w:szCs w:val="24"/>
        </w:rPr>
        <w:t xml:space="preserve"> 1929</w:t>
      </w:r>
      <w:r w:rsidR="00C06592">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en Nigeria</w:t>
      </w:r>
      <w:r w:rsidR="00A534FE">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se </w:t>
      </w:r>
      <w:r w:rsidR="00A534FE">
        <w:rPr>
          <w:rFonts w:ascii="Times New Roman" w:eastAsia="Calibri" w:hAnsi="Times New Roman" w:cs="Times New Roman"/>
          <w:bCs/>
          <w:sz w:val="24"/>
          <w:szCs w:val="24"/>
        </w:rPr>
        <w:t>sitúa</w:t>
      </w:r>
      <w:r w:rsidR="00A534FE" w:rsidRPr="001B0B1A">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la Revuelta de las Mujeres del Alba</w:t>
      </w:r>
      <w:r w:rsidR="00A534FE">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w:t>
      </w:r>
      <w:r w:rsidR="00A534FE">
        <w:rPr>
          <w:rFonts w:ascii="Times New Roman" w:eastAsia="Calibri" w:hAnsi="Times New Roman" w:cs="Times New Roman"/>
          <w:bCs/>
          <w:sz w:val="24"/>
          <w:szCs w:val="24"/>
        </w:rPr>
        <w:t>E</w:t>
      </w:r>
      <w:r w:rsidRPr="001B0B1A">
        <w:rPr>
          <w:rFonts w:ascii="Times New Roman" w:eastAsia="Calibri" w:hAnsi="Times New Roman" w:cs="Times New Roman"/>
          <w:bCs/>
          <w:sz w:val="24"/>
          <w:szCs w:val="24"/>
        </w:rPr>
        <w:t xml:space="preserve">ste movimiento de mujeres busca protestar contra los jefes </w:t>
      </w:r>
      <w:r w:rsidR="00BA60B9" w:rsidRPr="001B0B1A">
        <w:rPr>
          <w:rFonts w:ascii="Times New Roman" w:eastAsia="Calibri" w:hAnsi="Times New Roman" w:cs="Times New Roman"/>
          <w:bCs/>
          <w:sz w:val="24"/>
          <w:szCs w:val="24"/>
        </w:rPr>
        <w:t>designados</w:t>
      </w:r>
      <w:r w:rsidRPr="001B0B1A">
        <w:rPr>
          <w:rFonts w:ascii="Times New Roman" w:eastAsia="Calibri" w:hAnsi="Times New Roman" w:cs="Times New Roman"/>
          <w:bCs/>
          <w:sz w:val="24"/>
          <w:szCs w:val="24"/>
        </w:rPr>
        <w:t xml:space="preserve"> de forma </w:t>
      </w:r>
      <w:r w:rsidR="00BA60B9" w:rsidRPr="001B0B1A">
        <w:rPr>
          <w:rFonts w:ascii="Times New Roman" w:eastAsia="Calibri" w:hAnsi="Times New Roman" w:cs="Times New Roman"/>
          <w:bCs/>
          <w:sz w:val="24"/>
          <w:szCs w:val="24"/>
        </w:rPr>
        <w:t>arbitraria</w:t>
      </w:r>
      <w:r w:rsidRPr="001B0B1A">
        <w:rPr>
          <w:rFonts w:ascii="Times New Roman" w:eastAsia="Calibri" w:hAnsi="Times New Roman" w:cs="Times New Roman"/>
          <w:bCs/>
          <w:sz w:val="24"/>
          <w:szCs w:val="24"/>
        </w:rPr>
        <w:t xml:space="preserve"> en sus territorios</w:t>
      </w:r>
      <w:r w:rsidR="00A534FE">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w:t>
      </w:r>
      <w:r w:rsidR="00A534FE">
        <w:rPr>
          <w:rFonts w:ascii="Times New Roman" w:eastAsia="Calibri" w:hAnsi="Times New Roman" w:cs="Times New Roman"/>
          <w:bCs/>
          <w:sz w:val="24"/>
          <w:szCs w:val="24"/>
        </w:rPr>
        <w:t>C</w:t>
      </w:r>
      <w:r w:rsidRPr="001B0B1A">
        <w:rPr>
          <w:rFonts w:ascii="Times New Roman" w:eastAsia="Calibri" w:hAnsi="Times New Roman" w:cs="Times New Roman"/>
          <w:bCs/>
          <w:sz w:val="24"/>
          <w:szCs w:val="24"/>
        </w:rPr>
        <w:t xml:space="preserve">omo </w:t>
      </w:r>
      <w:r w:rsidR="00BA60B9" w:rsidRPr="001B0B1A">
        <w:rPr>
          <w:rFonts w:ascii="Times New Roman" w:eastAsia="Calibri" w:hAnsi="Times New Roman" w:cs="Times New Roman"/>
          <w:bCs/>
          <w:sz w:val="24"/>
          <w:szCs w:val="24"/>
        </w:rPr>
        <w:t>protesta</w:t>
      </w:r>
      <w:r w:rsidR="00A534FE">
        <w:rPr>
          <w:rFonts w:ascii="Times New Roman" w:eastAsia="Calibri" w:hAnsi="Times New Roman" w:cs="Times New Roman"/>
          <w:bCs/>
          <w:sz w:val="24"/>
          <w:szCs w:val="24"/>
        </w:rPr>
        <w:t>, las mujeres</w:t>
      </w:r>
      <w:r w:rsidRPr="001B0B1A">
        <w:rPr>
          <w:rFonts w:ascii="Times New Roman" w:eastAsia="Calibri" w:hAnsi="Times New Roman" w:cs="Times New Roman"/>
          <w:bCs/>
          <w:sz w:val="24"/>
          <w:szCs w:val="24"/>
        </w:rPr>
        <w:t xml:space="preserve"> canta</w:t>
      </w:r>
      <w:r w:rsidR="00A534FE">
        <w:rPr>
          <w:rFonts w:ascii="Times New Roman" w:eastAsia="Calibri" w:hAnsi="Times New Roman" w:cs="Times New Roman"/>
          <w:bCs/>
          <w:sz w:val="24"/>
          <w:szCs w:val="24"/>
        </w:rPr>
        <w:t>ban</w:t>
      </w:r>
      <w:r w:rsidRPr="001B0B1A">
        <w:rPr>
          <w:rFonts w:ascii="Times New Roman" w:eastAsia="Calibri" w:hAnsi="Times New Roman" w:cs="Times New Roman"/>
          <w:bCs/>
          <w:sz w:val="24"/>
          <w:szCs w:val="24"/>
        </w:rPr>
        <w:t>, baila</w:t>
      </w:r>
      <w:r w:rsidR="00A534FE">
        <w:rPr>
          <w:rFonts w:ascii="Times New Roman" w:eastAsia="Calibri" w:hAnsi="Times New Roman" w:cs="Times New Roman"/>
          <w:bCs/>
          <w:sz w:val="24"/>
          <w:szCs w:val="24"/>
        </w:rPr>
        <w:t>ban</w:t>
      </w:r>
      <w:r w:rsidRPr="001B0B1A">
        <w:rPr>
          <w:rFonts w:ascii="Times New Roman" w:eastAsia="Calibri" w:hAnsi="Times New Roman" w:cs="Times New Roman"/>
          <w:bCs/>
          <w:sz w:val="24"/>
          <w:szCs w:val="24"/>
        </w:rPr>
        <w:t>, golpea</w:t>
      </w:r>
      <w:r w:rsidR="00A534FE">
        <w:rPr>
          <w:rFonts w:ascii="Times New Roman" w:eastAsia="Calibri" w:hAnsi="Times New Roman" w:cs="Times New Roman"/>
          <w:bCs/>
          <w:sz w:val="24"/>
          <w:szCs w:val="24"/>
        </w:rPr>
        <w:t>ban</w:t>
      </w:r>
      <w:r w:rsidRPr="001B0B1A">
        <w:rPr>
          <w:rFonts w:ascii="Times New Roman" w:eastAsia="Calibri" w:hAnsi="Times New Roman" w:cs="Times New Roman"/>
          <w:bCs/>
          <w:sz w:val="24"/>
          <w:szCs w:val="24"/>
        </w:rPr>
        <w:t xml:space="preserve"> paredes o </w:t>
      </w:r>
      <w:r w:rsidR="00BA60B9" w:rsidRPr="001B0B1A">
        <w:rPr>
          <w:rFonts w:ascii="Times New Roman" w:eastAsia="Calibri" w:hAnsi="Times New Roman" w:cs="Times New Roman"/>
          <w:bCs/>
          <w:sz w:val="24"/>
          <w:szCs w:val="24"/>
        </w:rPr>
        <w:t>destroza</w:t>
      </w:r>
      <w:r w:rsidR="00A534FE">
        <w:rPr>
          <w:rFonts w:ascii="Times New Roman" w:eastAsia="Calibri" w:hAnsi="Times New Roman" w:cs="Times New Roman"/>
          <w:bCs/>
          <w:sz w:val="24"/>
          <w:szCs w:val="24"/>
        </w:rPr>
        <w:t>ban</w:t>
      </w:r>
      <w:r w:rsidRPr="001B0B1A">
        <w:rPr>
          <w:rFonts w:ascii="Times New Roman" w:eastAsia="Calibri" w:hAnsi="Times New Roman" w:cs="Times New Roman"/>
          <w:bCs/>
          <w:sz w:val="24"/>
          <w:szCs w:val="24"/>
        </w:rPr>
        <w:t xml:space="preserve"> tejados en las casa</w:t>
      </w:r>
      <w:r w:rsidR="00A534FE">
        <w:rPr>
          <w:rFonts w:ascii="Times New Roman" w:eastAsia="Calibri" w:hAnsi="Times New Roman" w:cs="Times New Roman"/>
          <w:bCs/>
          <w:sz w:val="24"/>
          <w:szCs w:val="24"/>
        </w:rPr>
        <w:t>s</w:t>
      </w:r>
      <w:r w:rsidRPr="001B0B1A">
        <w:rPr>
          <w:rFonts w:ascii="Times New Roman" w:eastAsia="Calibri" w:hAnsi="Times New Roman" w:cs="Times New Roman"/>
          <w:bCs/>
          <w:sz w:val="24"/>
          <w:szCs w:val="24"/>
        </w:rPr>
        <w:t xml:space="preserve"> lo que trajo como consecuencia que los jefes dimitieran y a las mujeres se le eliminara los impuestos en el mercado</w:t>
      </w:r>
      <w:r w:rsidR="00A534FE">
        <w:rPr>
          <w:rFonts w:ascii="Times New Roman" w:eastAsia="Calibri" w:hAnsi="Times New Roman" w:cs="Times New Roman"/>
          <w:bCs/>
          <w:sz w:val="24"/>
          <w:szCs w:val="24"/>
        </w:rPr>
        <w:t>.</w:t>
      </w:r>
    </w:p>
    <w:p w14:paraId="24D97BE5" w14:textId="38F26893" w:rsidR="00E10342" w:rsidRPr="001B0B1A" w:rsidRDefault="00D31DDB" w:rsidP="00450544">
      <w:pPr>
        <w:pStyle w:val="Standard"/>
        <w:spacing w:after="0" w:line="360" w:lineRule="auto"/>
        <w:ind w:firstLine="709"/>
        <w:jc w:val="both"/>
        <w:rPr>
          <w:rFonts w:ascii="Times New Roman" w:hAnsi="Times New Roman" w:cs="Times New Roman"/>
          <w:sz w:val="24"/>
          <w:szCs w:val="24"/>
        </w:rPr>
      </w:pPr>
      <w:r w:rsidRPr="001B0B1A">
        <w:rPr>
          <w:rFonts w:ascii="Times New Roman" w:eastAsia="Calibri" w:hAnsi="Times New Roman" w:cs="Times New Roman"/>
          <w:bCs/>
          <w:sz w:val="24"/>
          <w:szCs w:val="24"/>
        </w:rPr>
        <w:t>Para la I</w:t>
      </w:r>
      <w:r w:rsidR="00A534FE">
        <w:rPr>
          <w:rFonts w:ascii="Times New Roman" w:eastAsia="Calibri" w:hAnsi="Times New Roman" w:cs="Times New Roman"/>
          <w:bCs/>
          <w:sz w:val="24"/>
          <w:szCs w:val="24"/>
        </w:rPr>
        <w:t xml:space="preserve"> y</w:t>
      </w:r>
      <w:r w:rsidRPr="001B0B1A">
        <w:rPr>
          <w:rFonts w:ascii="Times New Roman" w:eastAsia="Calibri" w:hAnsi="Times New Roman" w:cs="Times New Roman"/>
          <w:bCs/>
          <w:sz w:val="24"/>
          <w:szCs w:val="24"/>
        </w:rPr>
        <w:t xml:space="preserve"> la II Guerra Mundial</w:t>
      </w:r>
      <w:r w:rsidR="00A534FE">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se hizo necesario que las mujeres </w:t>
      </w:r>
      <w:r w:rsidR="00D75232" w:rsidRPr="001B0B1A">
        <w:rPr>
          <w:rFonts w:ascii="Times New Roman" w:eastAsia="Calibri" w:hAnsi="Times New Roman" w:cs="Times New Roman"/>
          <w:bCs/>
          <w:sz w:val="24"/>
          <w:szCs w:val="24"/>
        </w:rPr>
        <w:t>ocuparan</w:t>
      </w:r>
      <w:r w:rsidRPr="001B0B1A">
        <w:rPr>
          <w:rFonts w:ascii="Times New Roman" w:eastAsia="Calibri" w:hAnsi="Times New Roman" w:cs="Times New Roman"/>
          <w:bCs/>
          <w:sz w:val="24"/>
          <w:szCs w:val="24"/>
        </w:rPr>
        <w:t xml:space="preserve"> puestos de trabajo no </w:t>
      </w:r>
      <w:r w:rsidR="00D75232" w:rsidRPr="001B0B1A">
        <w:rPr>
          <w:rFonts w:ascii="Times New Roman" w:eastAsia="Calibri" w:hAnsi="Times New Roman" w:cs="Times New Roman"/>
          <w:bCs/>
          <w:sz w:val="24"/>
          <w:szCs w:val="24"/>
        </w:rPr>
        <w:t>tradicionales</w:t>
      </w:r>
      <w:r w:rsidR="00A534FE">
        <w:rPr>
          <w:rFonts w:ascii="Times New Roman" w:eastAsia="Calibri" w:hAnsi="Times New Roman" w:cs="Times New Roman"/>
          <w:bCs/>
          <w:sz w:val="24"/>
          <w:szCs w:val="24"/>
        </w:rPr>
        <w:t>. De esta manera,</w:t>
      </w:r>
      <w:r w:rsidR="00D75232" w:rsidRPr="001B0B1A">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 xml:space="preserve">en </w:t>
      </w:r>
      <w:proofErr w:type="spellStart"/>
      <w:r w:rsidRPr="001B0B1A">
        <w:rPr>
          <w:rFonts w:ascii="Times New Roman" w:eastAsia="Calibri" w:hAnsi="Times New Roman" w:cs="Times New Roman"/>
          <w:bCs/>
          <w:sz w:val="24"/>
          <w:szCs w:val="24"/>
        </w:rPr>
        <w:t>Dublin</w:t>
      </w:r>
      <w:proofErr w:type="spellEnd"/>
      <w:r w:rsidRPr="001B0B1A">
        <w:rPr>
          <w:rFonts w:ascii="Times New Roman" w:eastAsia="Calibri" w:hAnsi="Times New Roman" w:cs="Times New Roman"/>
          <w:bCs/>
          <w:sz w:val="24"/>
          <w:szCs w:val="24"/>
        </w:rPr>
        <w:t>, Irlanda</w:t>
      </w:r>
      <w:r w:rsidR="00A534FE">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en 1945</w:t>
      </w:r>
      <w:r w:rsidR="00A534FE">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las mujeres </w:t>
      </w:r>
      <w:r w:rsidR="000C6937">
        <w:rPr>
          <w:rFonts w:ascii="Times New Roman" w:eastAsia="Calibri" w:hAnsi="Times New Roman" w:cs="Times New Roman"/>
          <w:bCs/>
          <w:sz w:val="24"/>
          <w:szCs w:val="24"/>
        </w:rPr>
        <w:t xml:space="preserve">estaban </w:t>
      </w:r>
      <w:r w:rsidRPr="001B0B1A">
        <w:rPr>
          <w:rFonts w:ascii="Times New Roman" w:eastAsia="Calibri" w:hAnsi="Times New Roman" w:cs="Times New Roman"/>
          <w:bCs/>
          <w:sz w:val="24"/>
          <w:szCs w:val="24"/>
        </w:rPr>
        <w:t>cansadas de los bajos salarios, las horas extras, el poco tiempo libre</w:t>
      </w:r>
      <w:r w:rsidR="000C6937">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así como</w:t>
      </w:r>
      <w:r w:rsidR="000C6937">
        <w:rPr>
          <w:rFonts w:ascii="Times New Roman" w:eastAsia="Calibri" w:hAnsi="Times New Roman" w:cs="Times New Roman"/>
          <w:bCs/>
          <w:sz w:val="24"/>
          <w:szCs w:val="24"/>
        </w:rPr>
        <w:t xml:space="preserve"> de</w:t>
      </w:r>
      <w:r w:rsidRPr="001B0B1A">
        <w:rPr>
          <w:rFonts w:ascii="Times New Roman" w:eastAsia="Calibri" w:hAnsi="Times New Roman" w:cs="Times New Roman"/>
          <w:bCs/>
          <w:sz w:val="24"/>
          <w:szCs w:val="24"/>
        </w:rPr>
        <w:t xml:space="preserve"> sitios de trabajo </w:t>
      </w:r>
      <w:r w:rsidR="00D75232" w:rsidRPr="001B0B1A">
        <w:rPr>
          <w:rFonts w:ascii="Times New Roman" w:eastAsia="Calibri" w:hAnsi="Times New Roman" w:cs="Times New Roman"/>
          <w:bCs/>
          <w:sz w:val="24"/>
          <w:szCs w:val="24"/>
        </w:rPr>
        <w:t>insalubres</w:t>
      </w:r>
      <w:r w:rsidR="000C6937">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w:t>
      </w:r>
      <w:r w:rsidR="000C6937">
        <w:rPr>
          <w:rFonts w:ascii="Times New Roman" w:eastAsia="Calibri" w:hAnsi="Times New Roman" w:cs="Times New Roman"/>
          <w:bCs/>
          <w:sz w:val="24"/>
          <w:szCs w:val="24"/>
        </w:rPr>
        <w:t>L</w:t>
      </w:r>
      <w:r w:rsidRPr="001B0B1A">
        <w:rPr>
          <w:rFonts w:ascii="Times New Roman" w:eastAsia="Calibri" w:hAnsi="Times New Roman" w:cs="Times New Roman"/>
          <w:bCs/>
          <w:sz w:val="24"/>
          <w:szCs w:val="24"/>
        </w:rPr>
        <w:t>o anterior propició que 1.500 mujeres lavanderas se si</w:t>
      </w:r>
      <w:r w:rsidR="00F829F4" w:rsidRPr="001B0B1A">
        <w:rPr>
          <w:rFonts w:ascii="Times New Roman" w:eastAsia="Calibri" w:hAnsi="Times New Roman" w:cs="Times New Roman"/>
          <w:bCs/>
          <w:sz w:val="24"/>
          <w:szCs w:val="24"/>
        </w:rPr>
        <w:t>ndicalizar</w:t>
      </w:r>
      <w:r w:rsidR="000C6937">
        <w:rPr>
          <w:rFonts w:ascii="Times New Roman" w:eastAsia="Calibri" w:hAnsi="Times New Roman" w:cs="Times New Roman"/>
          <w:bCs/>
          <w:sz w:val="24"/>
          <w:szCs w:val="24"/>
        </w:rPr>
        <w:t xml:space="preserve">an </w:t>
      </w:r>
      <w:r w:rsidRPr="001B0B1A">
        <w:rPr>
          <w:rFonts w:ascii="Times New Roman" w:eastAsia="Calibri" w:hAnsi="Times New Roman" w:cs="Times New Roman"/>
          <w:bCs/>
          <w:sz w:val="24"/>
          <w:szCs w:val="24"/>
        </w:rPr>
        <w:t xml:space="preserve">y se fueran a huelga. </w:t>
      </w:r>
      <w:r w:rsidR="00072688">
        <w:rPr>
          <w:rFonts w:ascii="Times New Roman" w:eastAsia="Calibri" w:hAnsi="Times New Roman" w:cs="Times New Roman"/>
          <w:bCs/>
          <w:sz w:val="24"/>
          <w:szCs w:val="24"/>
        </w:rPr>
        <w:t>Esto da</w:t>
      </w:r>
      <w:r w:rsidR="00072688" w:rsidRPr="001B0B1A">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como resultado que se reconozca por ley una segunda semana de vacaciones al año.</w:t>
      </w:r>
    </w:p>
    <w:p w14:paraId="168FA4D3" w14:textId="10795E37" w:rsidR="00450544" w:rsidRDefault="00D31DDB" w:rsidP="00450544">
      <w:pPr>
        <w:pStyle w:val="Standard"/>
        <w:spacing w:after="0" w:line="360" w:lineRule="auto"/>
        <w:ind w:firstLine="709"/>
        <w:jc w:val="both"/>
        <w:rPr>
          <w:rFonts w:ascii="Times New Roman" w:hAnsi="Times New Roman" w:cs="Times New Roman"/>
          <w:sz w:val="24"/>
          <w:szCs w:val="24"/>
        </w:rPr>
      </w:pPr>
      <w:r w:rsidRPr="001B0B1A">
        <w:rPr>
          <w:rFonts w:ascii="Times New Roman" w:eastAsia="Calibri" w:hAnsi="Times New Roman" w:cs="Times New Roman"/>
          <w:bCs/>
          <w:sz w:val="24"/>
          <w:szCs w:val="24"/>
        </w:rPr>
        <w:t>También</w:t>
      </w:r>
      <w:r w:rsidR="00072688">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en este mismo año 194</w:t>
      </w:r>
      <w:r w:rsidR="003A1A8A" w:rsidRPr="001B0B1A">
        <w:rPr>
          <w:rFonts w:ascii="Times New Roman" w:eastAsia="Calibri" w:hAnsi="Times New Roman" w:cs="Times New Roman"/>
          <w:bCs/>
          <w:sz w:val="24"/>
          <w:szCs w:val="24"/>
        </w:rPr>
        <w:t>5</w:t>
      </w:r>
      <w:r w:rsidRPr="001B0B1A">
        <w:rPr>
          <w:rFonts w:ascii="Times New Roman" w:eastAsia="Calibri" w:hAnsi="Times New Roman" w:cs="Times New Roman"/>
          <w:bCs/>
          <w:sz w:val="24"/>
          <w:szCs w:val="24"/>
        </w:rPr>
        <w:t>, una vez terminada la II Guerra Mundial y valorada</w:t>
      </w:r>
      <w:r w:rsidR="00072688">
        <w:rPr>
          <w:rFonts w:ascii="Times New Roman" w:eastAsia="Calibri" w:hAnsi="Times New Roman" w:cs="Times New Roman"/>
          <w:bCs/>
          <w:sz w:val="24"/>
          <w:szCs w:val="24"/>
        </w:rPr>
        <w:t>s</w:t>
      </w:r>
      <w:r w:rsidRPr="001B0B1A">
        <w:rPr>
          <w:rFonts w:ascii="Times New Roman" w:eastAsia="Calibri" w:hAnsi="Times New Roman" w:cs="Times New Roman"/>
          <w:bCs/>
          <w:sz w:val="24"/>
          <w:szCs w:val="24"/>
        </w:rPr>
        <w:t xml:space="preserve"> sus consecuencia</w:t>
      </w:r>
      <w:r w:rsidR="00072688">
        <w:rPr>
          <w:rFonts w:ascii="Times New Roman" w:eastAsia="Calibri" w:hAnsi="Times New Roman" w:cs="Times New Roman"/>
          <w:bCs/>
          <w:sz w:val="24"/>
          <w:szCs w:val="24"/>
        </w:rPr>
        <w:t>s,</w:t>
      </w:r>
      <w:r w:rsidRPr="001B0B1A">
        <w:rPr>
          <w:rFonts w:ascii="Times New Roman" w:eastAsia="Calibri" w:hAnsi="Times New Roman" w:cs="Times New Roman"/>
          <w:bCs/>
          <w:sz w:val="24"/>
          <w:szCs w:val="24"/>
        </w:rPr>
        <w:t xml:space="preserve"> surge </w:t>
      </w:r>
      <w:r w:rsidR="00072688">
        <w:rPr>
          <w:rFonts w:ascii="Times New Roman" w:eastAsia="Calibri" w:hAnsi="Times New Roman" w:cs="Times New Roman"/>
          <w:bCs/>
          <w:sz w:val="24"/>
          <w:szCs w:val="24"/>
        </w:rPr>
        <w:t xml:space="preserve">la Organización de </w:t>
      </w:r>
      <w:r w:rsidRPr="001B0B1A">
        <w:rPr>
          <w:rFonts w:ascii="Times New Roman" w:eastAsia="Calibri" w:hAnsi="Times New Roman" w:cs="Times New Roman"/>
          <w:bCs/>
          <w:sz w:val="24"/>
          <w:szCs w:val="24"/>
        </w:rPr>
        <w:t>las Naciones Unidas</w:t>
      </w:r>
      <w:r w:rsidR="00072688">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cuyo fin es fomentar la cooperación internacional</w:t>
      </w:r>
      <w:r w:rsidR="00072688">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w:t>
      </w:r>
      <w:r w:rsidR="00072688">
        <w:rPr>
          <w:rFonts w:ascii="Times New Roman" w:eastAsia="Calibri" w:hAnsi="Times New Roman" w:cs="Times New Roman"/>
          <w:bCs/>
          <w:sz w:val="24"/>
          <w:szCs w:val="24"/>
        </w:rPr>
        <w:t>y</w:t>
      </w:r>
      <w:r w:rsidRPr="001B0B1A">
        <w:rPr>
          <w:rFonts w:ascii="Times New Roman" w:eastAsia="Calibri" w:hAnsi="Times New Roman" w:cs="Times New Roman"/>
          <w:bCs/>
          <w:sz w:val="24"/>
          <w:szCs w:val="24"/>
        </w:rPr>
        <w:t xml:space="preserve"> con ella la Carta de las Naciones Unidas</w:t>
      </w:r>
      <w:r w:rsidR="00072688">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que contiene la consagración a la igualdad de género</w:t>
      </w:r>
      <w:r w:rsidR="00072688">
        <w:rPr>
          <w:rFonts w:ascii="Times New Roman" w:eastAsia="Calibri" w:hAnsi="Times New Roman" w:cs="Times New Roman"/>
          <w:bCs/>
          <w:sz w:val="24"/>
          <w:szCs w:val="24"/>
        </w:rPr>
        <w:t>, como sigue</w:t>
      </w:r>
      <w:r w:rsidRPr="001B0B1A">
        <w:rPr>
          <w:rFonts w:ascii="Times New Roman" w:eastAsia="Calibri" w:hAnsi="Times New Roman" w:cs="Times New Roman"/>
          <w:bCs/>
          <w:sz w:val="24"/>
          <w:szCs w:val="24"/>
        </w:rPr>
        <w:t>:</w:t>
      </w:r>
      <w:r w:rsidR="00072688" w:rsidRPr="001B0B1A">
        <w:rPr>
          <w:rStyle w:val="nfasis"/>
          <w:rFonts w:ascii="Times New Roman" w:hAnsi="Times New Roman" w:cs="Times New Roman"/>
          <w:sz w:val="24"/>
          <w:szCs w:val="24"/>
        </w:rPr>
        <w:t xml:space="preserve"> </w:t>
      </w:r>
      <w:r w:rsidR="00072688" w:rsidRPr="00121159">
        <w:rPr>
          <w:rStyle w:val="nfasis"/>
          <w:rFonts w:ascii="Times New Roman" w:hAnsi="Times New Roman" w:cs="Times New Roman"/>
          <w:i w:val="0"/>
          <w:sz w:val="24"/>
          <w:szCs w:val="24"/>
        </w:rPr>
        <w:t>“Nosotros los pueblos</w:t>
      </w:r>
      <w:r w:rsidR="00072688">
        <w:rPr>
          <w:rStyle w:val="nfasis"/>
          <w:rFonts w:ascii="Times New Roman" w:hAnsi="Times New Roman" w:cs="Times New Roman"/>
          <w:i w:val="0"/>
          <w:sz w:val="24"/>
          <w:szCs w:val="24"/>
        </w:rPr>
        <w:t xml:space="preserve"> (</w:t>
      </w:r>
      <w:r w:rsidR="00072688" w:rsidRPr="00121159">
        <w:rPr>
          <w:rStyle w:val="nfasis"/>
          <w:rFonts w:ascii="Times New Roman" w:hAnsi="Times New Roman" w:cs="Times New Roman"/>
          <w:i w:val="0"/>
          <w:sz w:val="24"/>
          <w:szCs w:val="24"/>
        </w:rPr>
        <w:t>...</w:t>
      </w:r>
      <w:r w:rsidR="00072688">
        <w:rPr>
          <w:rStyle w:val="nfasis"/>
          <w:rFonts w:ascii="Times New Roman" w:hAnsi="Times New Roman" w:cs="Times New Roman"/>
          <w:i w:val="0"/>
          <w:sz w:val="24"/>
          <w:szCs w:val="24"/>
        </w:rPr>
        <w:t>)</w:t>
      </w:r>
      <w:r w:rsidR="00072688" w:rsidRPr="00121159">
        <w:rPr>
          <w:rStyle w:val="nfasis"/>
          <w:rFonts w:ascii="Times New Roman" w:hAnsi="Times New Roman" w:cs="Times New Roman"/>
          <w:i w:val="0"/>
          <w:sz w:val="24"/>
          <w:szCs w:val="24"/>
        </w:rPr>
        <w:t xml:space="preserve"> reafirmamos la fe</w:t>
      </w:r>
      <w:r w:rsidR="00072688">
        <w:rPr>
          <w:rStyle w:val="nfasis"/>
          <w:rFonts w:ascii="Times New Roman" w:hAnsi="Times New Roman" w:cs="Times New Roman"/>
          <w:i w:val="0"/>
          <w:sz w:val="24"/>
          <w:szCs w:val="24"/>
        </w:rPr>
        <w:t xml:space="preserve"> (</w:t>
      </w:r>
      <w:r w:rsidR="00072688" w:rsidRPr="00121159">
        <w:rPr>
          <w:rStyle w:val="nfasis"/>
          <w:rFonts w:ascii="Times New Roman" w:hAnsi="Times New Roman" w:cs="Times New Roman"/>
          <w:i w:val="0"/>
          <w:sz w:val="24"/>
          <w:szCs w:val="24"/>
        </w:rPr>
        <w:t>...</w:t>
      </w:r>
      <w:r w:rsidR="00072688">
        <w:rPr>
          <w:rStyle w:val="nfasis"/>
          <w:rFonts w:ascii="Times New Roman" w:hAnsi="Times New Roman" w:cs="Times New Roman"/>
          <w:i w:val="0"/>
          <w:sz w:val="24"/>
          <w:szCs w:val="24"/>
        </w:rPr>
        <w:t>)</w:t>
      </w:r>
      <w:r w:rsidR="00072688" w:rsidRPr="00121159">
        <w:rPr>
          <w:rStyle w:val="nfasis"/>
          <w:rFonts w:ascii="Times New Roman" w:hAnsi="Times New Roman" w:cs="Times New Roman"/>
          <w:i w:val="0"/>
          <w:sz w:val="24"/>
          <w:szCs w:val="24"/>
        </w:rPr>
        <w:t xml:space="preserve"> en la igualdad de derechos de mujeres y hombres”.</w:t>
      </w:r>
      <w:r w:rsidR="00072688">
        <w:rPr>
          <w:rStyle w:val="nfasis"/>
          <w:rFonts w:ascii="Times New Roman" w:hAnsi="Times New Roman" w:cs="Times New Roman"/>
          <w:i w:val="0"/>
          <w:sz w:val="24"/>
          <w:szCs w:val="24"/>
        </w:rPr>
        <w:t xml:space="preserve"> </w:t>
      </w:r>
      <w:r w:rsidR="00072688" w:rsidRPr="00121159">
        <w:rPr>
          <w:rStyle w:val="nfasis"/>
          <w:rFonts w:ascii="Times New Roman" w:hAnsi="Times New Roman" w:cs="Times New Roman"/>
          <w:i w:val="0"/>
          <w:sz w:val="24"/>
          <w:szCs w:val="24"/>
        </w:rPr>
        <w:t>Y para 1946</w:t>
      </w:r>
      <w:r w:rsidR="005F159A">
        <w:rPr>
          <w:rStyle w:val="nfasis"/>
          <w:rFonts w:ascii="Times New Roman" w:hAnsi="Times New Roman" w:cs="Times New Roman"/>
          <w:i w:val="0"/>
          <w:sz w:val="24"/>
          <w:szCs w:val="24"/>
        </w:rPr>
        <w:t xml:space="preserve"> </w:t>
      </w:r>
      <w:r w:rsidR="00072688" w:rsidRPr="00121159">
        <w:rPr>
          <w:rStyle w:val="nfasis"/>
          <w:rFonts w:ascii="Times New Roman" w:hAnsi="Times New Roman" w:cs="Times New Roman"/>
          <w:i w:val="0"/>
          <w:sz w:val="24"/>
          <w:szCs w:val="24"/>
        </w:rPr>
        <w:t>las Naciones Unidas</w:t>
      </w:r>
      <w:r w:rsidR="005F159A">
        <w:rPr>
          <w:rStyle w:val="nfasis"/>
          <w:rFonts w:ascii="Times New Roman" w:hAnsi="Times New Roman" w:cs="Times New Roman"/>
          <w:i w:val="0"/>
          <w:sz w:val="24"/>
          <w:szCs w:val="24"/>
        </w:rPr>
        <w:t xml:space="preserve"> </w:t>
      </w:r>
      <w:r w:rsidR="00072688" w:rsidRPr="00121159">
        <w:rPr>
          <w:rStyle w:val="nfasis"/>
          <w:rFonts w:ascii="Times New Roman" w:hAnsi="Times New Roman" w:cs="Times New Roman"/>
          <w:i w:val="0"/>
          <w:sz w:val="24"/>
          <w:szCs w:val="24"/>
        </w:rPr>
        <w:t>en aras de defender los derechos de</w:t>
      </w:r>
      <w:r w:rsidR="005F159A">
        <w:rPr>
          <w:rStyle w:val="nfasis"/>
          <w:rFonts w:ascii="Times New Roman" w:hAnsi="Times New Roman" w:cs="Times New Roman"/>
          <w:i w:val="0"/>
          <w:sz w:val="24"/>
          <w:szCs w:val="24"/>
        </w:rPr>
        <w:t xml:space="preserve"> </w:t>
      </w:r>
      <w:r w:rsidR="00072688" w:rsidRPr="00121159">
        <w:rPr>
          <w:rStyle w:val="nfasis"/>
          <w:rFonts w:ascii="Times New Roman" w:hAnsi="Times New Roman" w:cs="Times New Roman"/>
          <w:i w:val="0"/>
          <w:sz w:val="24"/>
          <w:szCs w:val="24"/>
        </w:rPr>
        <w:t>las mujeres</w:t>
      </w:r>
      <w:r w:rsidR="005F159A">
        <w:rPr>
          <w:rStyle w:val="nfasis"/>
          <w:rFonts w:ascii="Times New Roman" w:hAnsi="Times New Roman" w:cs="Times New Roman"/>
          <w:i w:val="0"/>
          <w:sz w:val="24"/>
          <w:szCs w:val="24"/>
        </w:rPr>
        <w:t xml:space="preserve"> </w:t>
      </w:r>
      <w:r w:rsidR="00072688" w:rsidRPr="00121159">
        <w:rPr>
          <w:rStyle w:val="nfasis"/>
          <w:rFonts w:ascii="Times New Roman" w:hAnsi="Times New Roman" w:cs="Times New Roman"/>
          <w:i w:val="0"/>
          <w:sz w:val="24"/>
          <w:szCs w:val="24"/>
        </w:rPr>
        <w:t>crea la Comisión</w:t>
      </w:r>
      <w:r w:rsidR="005F159A">
        <w:rPr>
          <w:rStyle w:val="nfasis"/>
          <w:rFonts w:ascii="Times New Roman" w:hAnsi="Times New Roman" w:cs="Times New Roman"/>
          <w:i w:val="0"/>
          <w:sz w:val="24"/>
          <w:szCs w:val="24"/>
        </w:rPr>
        <w:t xml:space="preserve"> </w:t>
      </w:r>
      <w:r w:rsidR="00072688" w:rsidRPr="00121159">
        <w:rPr>
          <w:rStyle w:val="nfasis"/>
          <w:rFonts w:ascii="Times New Roman" w:hAnsi="Times New Roman" w:cs="Times New Roman"/>
          <w:i w:val="0"/>
          <w:sz w:val="24"/>
          <w:szCs w:val="24"/>
        </w:rPr>
        <w:t>de la Condición</w:t>
      </w:r>
      <w:r w:rsidR="005F159A">
        <w:rPr>
          <w:rStyle w:val="nfasis"/>
          <w:rFonts w:ascii="Times New Roman" w:hAnsi="Times New Roman" w:cs="Times New Roman"/>
          <w:i w:val="0"/>
          <w:sz w:val="24"/>
          <w:szCs w:val="24"/>
        </w:rPr>
        <w:t xml:space="preserve"> </w:t>
      </w:r>
      <w:r w:rsidR="00072688" w:rsidRPr="00121159">
        <w:rPr>
          <w:rStyle w:val="nfasis"/>
          <w:rFonts w:ascii="Times New Roman" w:hAnsi="Times New Roman" w:cs="Times New Roman"/>
          <w:i w:val="0"/>
          <w:sz w:val="24"/>
          <w:szCs w:val="24"/>
        </w:rPr>
        <w:t>jurídica y social de la Mujer, siendo esta comisión el primer órgano a nivel mundial dedicado a conocer de forma exclusiva sobre género.</w:t>
      </w:r>
      <w:r w:rsidR="00307AFC">
        <w:rPr>
          <w:rStyle w:val="nfasis"/>
          <w:rFonts w:ascii="Times New Roman" w:hAnsi="Times New Roman" w:cs="Times New Roman"/>
          <w:i w:val="0"/>
          <w:sz w:val="24"/>
          <w:szCs w:val="24"/>
        </w:rPr>
        <w:t xml:space="preserve"> </w:t>
      </w:r>
      <w:r w:rsidR="00307AFC">
        <w:rPr>
          <w:rFonts w:ascii="Times New Roman" w:eastAsia="Calibri" w:hAnsi="Times New Roman" w:cs="Times New Roman"/>
          <w:bCs/>
          <w:sz w:val="24"/>
          <w:szCs w:val="24"/>
        </w:rPr>
        <w:t xml:space="preserve">(ONU Mujeres, 2020, párr. </w:t>
      </w:r>
      <w:r w:rsidR="001E1E7E" w:rsidRPr="001E1E7E">
        <w:rPr>
          <w:rFonts w:ascii="Times New Roman" w:eastAsia="Calibri" w:hAnsi="Times New Roman" w:cs="Times New Roman"/>
          <w:bCs/>
          <w:sz w:val="24"/>
          <w:szCs w:val="24"/>
        </w:rPr>
        <w:t>párr. 14-15).</w:t>
      </w:r>
    </w:p>
    <w:p w14:paraId="4C7AB286" w14:textId="1B6BEDD4" w:rsidR="00E10342" w:rsidRPr="001B0B1A" w:rsidRDefault="00D31DDB" w:rsidP="00450544">
      <w:pPr>
        <w:pStyle w:val="Standard"/>
        <w:spacing w:after="0" w:line="360" w:lineRule="auto"/>
        <w:ind w:firstLine="709"/>
        <w:jc w:val="both"/>
        <w:rPr>
          <w:rFonts w:ascii="Times New Roman" w:hAnsi="Times New Roman" w:cs="Times New Roman"/>
          <w:sz w:val="24"/>
          <w:szCs w:val="24"/>
        </w:rPr>
      </w:pPr>
      <w:r w:rsidRPr="001B0B1A">
        <w:rPr>
          <w:rFonts w:ascii="Times New Roman" w:eastAsia="Calibri" w:hAnsi="Times New Roman" w:cs="Times New Roman"/>
          <w:bCs/>
          <w:sz w:val="24"/>
          <w:szCs w:val="24"/>
        </w:rPr>
        <w:lastRenderedPageBreak/>
        <w:t xml:space="preserve">Para el mes de febrero del año 1947, </w:t>
      </w:r>
      <w:r w:rsidR="00307AFC">
        <w:rPr>
          <w:rFonts w:ascii="Times New Roman" w:eastAsia="Calibri" w:hAnsi="Times New Roman" w:cs="Times New Roman"/>
          <w:bCs/>
          <w:sz w:val="24"/>
          <w:szCs w:val="24"/>
        </w:rPr>
        <w:t xml:space="preserve">se llevó a cabo </w:t>
      </w:r>
      <w:r w:rsidRPr="001B0B1A">
        <w:rPr>
          <w:rFonts w:ascii="Times New Roman" w:eastAsia="Calibri" w:hAnsi="Times New Roman" w:cs="Times New Roman"/>
          <w:bCs/>
          <w:sz w:val="24"/>
          <w:szCs w:val="24"/>
        </w:rPr>
        <w:t xml:space="preserve">la </w:t>
      </w:r>
      <w:r w:rsidRPr="001B0B1A">
        <w:rPr>
          <w:rFonts w:ascii="Times New Roman" w:hAnsi="Times New Roman" w:cs="Times New Roman"/>
          <w:sz w:val="24"/>
          <w:szCs w:val="24"/>
        </w:rPr>
        <w:t>Comisión de la Condición Jurídica y Social de la Mujer</w:t>
      </w:r>
      <w:r w:rsidRPr="001B0B1A">
        <w:rPr>
          <w:rFonts w:ascii="Times New Roman" w:eastAsia="Calibri" w:hAnsi="Times New Roman" w:cs="Times New Roman"/>
          <w:bCs/>
          <w:sz w:val="24"/>
          <w:szCs w:val="24"/>
        </w:rPr>
        <w:t>, l</w:t>
      </w:r>
      <w:r w:rsidR="00A83E09">
        <w:rPr>
          <w:rFonts w:ascii="Times New Roman" w:eastAsia="Calibri" w:hAnsi="Times New Roman" w:cs="Times New Roman"/>
          <w:bCs/>
          <w:sz w:val="24"/>
          <w:szCs w:val="24"/>
        </w:rPr>
        <w:t>a</w:t>
      </w:r>
      <w:r w:rsidRPr="001B0B1A">
        <w:rPr>
          <w:rFonts w:ascii="Times New Roman" w:eastAsia="Calibri" w:hAnsi="Times New Roman" w:cs="Times New Roman"/>
          <w:bCs/>
          <w:sz w:val="24"/>
          <w:szCs w:val="24"/>
        </w:rPr>
        <w:t xml:space="preserve"> cual contó una representante de dicho organismo internacional. Esta Comisión centró su actividad en establecer normas y formular convenciones internacionales con el ánimo tanto de cambiar la legislación con alto contenido discriminatorio como el aumentar la sensibilización global </w:t>
      </w:r>
      <w:r w:rsidR="00D75232" w:rsidRPr="001B0B1A">
        <w:rPr>
          <w:rFonts w:ascii="Times New Roman" w:eastAsia="Calibri" w:hAnsi="Times New Roman" w:cs="Times New Roman"/>
          <w:bCs/>
          <w:sz w:val="24"/>
          <w:szCs w:val="24"/>
        </w:rPr>
        <w:t>sobre temas</w:t>
      </w:r>
      <w:r w:rsidRPr="001B0B1A">
        <w:rPr>
          <w:rFonts w:ascii="Times New Roman" w:eastAsia="Calibri" w:hAnsi="Times New Roman" w:cs="Times New Roman"/>
          <w:bCs/>
          <w:sz w:val="24"/>
          <w:szCs w:val="24"/>
        </w:rPr>
        <w:t xml:space="preserve"> relacionados con las mujeres. Siendo uno de sus logros el que se eliminara la referencia de “hombres” como sinónimo de </w:t>
      </w:r>
      <w:r w:rsidR="00D75232" w:rsidRPr="001B0B1A">
        <w:rPr>
          <w:rFonts w:ascii="Times New Roman" w:eastAsia="Calibri" w:hAnsi="Times New Roman" w:cs="Times New Roman"/>
          <w:bCs/>
          <w:sz w:val="24"/>
          <w:szCs w:val="24"/>
        </w:rPr>
        <w:t>humanidad en</w:t>
      </w:r>
      <w:r w:rsidRPr="001B0B1A">
        <w:rPr>
          <w:rFonts w:ascii="Times New Roman" w:eastAsia="Calibri" w:hAnsi="Times New Roman" w:cs="Times New Roman"/>
          <w:bCs/>
          <w:sz w:val="24"/>
          <w:szCs w:val="24"/>
        </w:rPr>
        <w:t xml:space="preserve"> la Declaración Universal de </w:t>
      </w:r>
      <w:r w:rsidR="00D75232" w:rsidRPr="001B0B1A">
        <w:rPr>
          <w:rFonts w:ascii="Times New Roman" w:eastAsia="Calibri" w:hAnsi="Times New Roman" w:cs="Times New Roman"/>
          <w:bCs/>
          <w:sz w:val="24"/>
          <w:szCs w:val="24"/>
        </w:rPr>
        <w:t>Derechos</w:t>
      </w:r>
      <w:r w:rsidRPr="001B0B1A">
        <w:rPr>
          <w:rFonts w:ascii="Times New Roman" w:eastAsia="Calibri" w:hAnsi="Times New Roman" w:cs="Times New Roman"/>
          <w:bCs/>
          <w:sz w:val="24"/>
          <w:szCs w:val="24"/>
        </w:rPr>
        <w:t xml:space="preserve"> Humanos y con ello un lenguaje inclusivo. (ONU</w:t>
      </w:r>
      <w:r w:rsidR="005E0E18">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 xml:space="preserve">Mujeres, </w:t>
      </w:r>
      <w:r w:rsidR="000C267D">
        <w:rPr>
          <w:rFonts w:ascii="Times New Roman" w:eastAsia="Calibri" w:hAnsi="Times New Roman" w:cs="Times New Roman"/>
          <w:bCs/>
          <w:sz w:val="24"/>
          <w:szCs w:val="24"/>
        </w:rPr>
        <w:t>2020, párr. 2</w:t>
      </w:r>
      <w:r w:rsidRPr="001B0B1A">
        <w:rPr>
          <w:rFonts w:ascii="Times New Roman" w:eastAsia="Calibri" w:hAnsi="Times New Roman" w:cs="Times New Roman"/>
          <w:bCs/>
          <w:sz w:val="24"/>
          <w:szCs w:val="24"/>
        </w:rPr>
        <w:t>)</w:t>
      </w:r>
      <w:r w:rsidR="000C267D">
        <w:rPr>
          <w:rFonts w:ascii="Times New Roman" w:eastAsia="Calibri" w:hAnsi="Times New Roman" w:cs="Times New Roman"/>
          <w:bCs/>
          <w:sz w:val="24"/>
          <w:szCs w:val="24"/>
        </w:rPr>
        <w:t>.</w:t>
      </w:r>
    </w:p>
    <w:p w14:paraId="48AF5D8D" w14:textId="098CEB61" w:rsidR="00E10342" w:rsidRPr="001B0B1A" w:rsidRDefault="000C267D" w:rsidP="00450544">
      <w:pPr>
        <w:pStyle w:val="Standard"/>
        <w:spacing w:after="0" w:line="360" w:lineRule="auto"/>
        <w:ind w:firstLine="709"/>
        <w:jc w:val="both"/>
        <w:rPr>
          <w:rFonts w:ascii="Times New Roman" w:hAnsi="Times New Roman" w:cs="Times New Roman"/>
          <w:sz w:val="24"/>
          <w:szCs w:val="24"/>
        </w:rPr>
      </w:pPr>
      <w:r>
        <w:rPr>
          <w:rFonts w:ascii="Times New Roman" w:eastAsia="Calibri" w:hAnsi="Times New Roman" w:cs="Times New Roman"/>
          <w:bCs/>
          <w:sz w:val="24"/>
          <w:szCs w:val="24"/>
        </w:rPr>
        <w:t>Asimismo,</w:t>
      </w:r>
      <w:r w:rsidRPr="001B0B1A">
        <w:rPr>
          <w:rFonts w:ascii="Times New Roman" w:eastAsia="Calibri" w:hAnsi="Times New Roman" w:cs="Times New Roman"/>
          <w:bCs/>
          <w:sz w:val="24"/>
          <w:szCs w:val="24"/>
        </w:rPr>
        <w:t xml:space="preserve"> </w:t>
      </w:r>
      <w:r w:rsidR="00D31DDB" w:rsidRPr="001B0B1A">
        <w:rPr>
          <w:rFonts w:ascii="Times New Roman" w:eastAsia="Calibri" w:hAnsi="Times New Roman" w:cs="Times New Roman"/>
          <w:bCs/>
          <w:sz w:val="24"/>
          <w:szCs w:val="24"/>
        </w:rPr>
        <w:t xml:space="preserve">la Comisión fue la encargada de </w:t>
      </w:r>
      <w:r w:rsidR="00D75232" w:rsidRPr="001B0B1A">
        <w:rPr>
          <w:rFonts w:ascii="Times New Roman" w:eastAsia="Calibri" w:hAnsi="Times New Roman" w:cs="Times New Roman"/>
          <w:bCs/>
          <w:sz w:val="24"/>
          <w:szCs w:val="24"/>
        </w:rPr>
        <w:t>elaborar</w:t>
      </w:r>
      <w:r w:rsidR="00D31DDB" w:rsidRPr="001B0B1A">
        <w:rPr>
          <w:rFonts w:ascii="Times New Roman" w:eastAsia="Calibri" w:hAnsi="Times New Roman" w:cs="Times New Roman"/>
          <w:bCs/>
          <w:sz w:val="24"/>
          <w:szCs w:val="24"/>
        </w:rPr>
        <w:t xml:space="preserve"> las primeras convenciones y acuerdos</w:t>
      </w:r>
      <w:r w:rsidR="005F159A">
        <w:rPr>
          <w:rFonts w:ascii="Times New Roman" w:eastAsia="Calibri" w:hAnsi="Times New Roman" w:cs="Times New Roman"/>
          <w:bCs/>
          <w:sz w:val="24"/>
          <w:szCs w:val="24"/>
        </w:rPr>
        <w:t xml:space="preserve"> </w:t>
      </w:r>
      <w:r w:rsidR="00D31DDB" w:rsidRPr="001B0B1A">
        <w:rPr>
          <w:rFonts w:ascii="Times New Roman" w:eastAsia="Calibri" w:hAnsi="Times New Roman" w:cs="Times New Roman"/>
          <w:bCs/>
          <w:sz w:val="24"/>
          <w:szCs w:val="24"/>
        </w:rPr>
        <w:t>internacionales en favor de las mujeres, entre los que se enumeran:</w:t>
      </w:r>
      <w:r w:rsidR="005F159A">
        <w:rPr>
          <w:rFonts w:ascii="Times New Roman" w:eastAsia="Calibri" w:hAnsi="Times New Roman" w:cs="Times New Roman"/>
          <w:bCs/>
          <w:sz w:val="24"/>
          <w:szCs w:val="24"/>
        </w:rPr>
        <w:t xml:space="preserve"> </w:t>
      </w:r>
      <w:r w:rsidR="00D31DDB" w:rsidRPr="001B0B1A">
        <w:rPr>
          <w:rFonts w:ascii="Times New Roman" w:eastAsia="Calibri" w:hAnsi="Times New Roman" w:cs="Times New Roman"/>
          <w:bCs/>
          <w:sz w:val="24"/>
          <w:szCs w:val="24"/>
        </w:rPr>
        <w:t>la </w:t>
      </w:r>
      <w:hyperlink r:id="rId10" w:history="1">
        <w:r w:rsidR="00D31DDB" w:rsidRPr="001B0B1A">
          <w:rPr>
            <w:rFonts w:ascii="Times New Roman" w:hAnsi="Times New Roman" w:cs="Times New Roman"/>
            <w:sz w:val="24"/>
            <w:szCs w:val="24"/>
          </w:rPr>
          <w:t>Convención sobre los Derechos Políticos de la Mujer</w:t>
        </w:r>
      </w:hyperlink>
      <w:r w:rsidR="00D31DDB" w:rsidRPr="001B0B1A">
        <w:rPr>
          <w:rFonts w:ascii="Times New Roman" w:eastAsia="Calibri" w:hAnsi="Times New Roman" w:cs="Times New Roman"/>
          <w:bCs/>
          <w:sz w:val="24"/>
          <w:szCs w:val="24"/>
        </w:rPr>
        <w:t xml:space="preserve"> </w:t>
      </w:r>
      <w:r w:rsidR="00A73BD6">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1953</w:t>
      </w:r>
      <w:r w:rsidR="00A73BD6">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xml:space="preserve"> los </w:t>
      </w:r>
      <w:r w:rsidR="00A73BD6">
        <w:rPr>
          <w:rFonts w:ascii="Times New Roman" w:eastAsia="Calibri" w:hAnsi="Times New Roman" w:cs="Times New Roman"/>
          <w:bCs/>
          <w:sz w:val="24"/>
          <w:szCs w:val="24"/>
        </w:rPr>
        <w:t>D</w:t>
      </w:r>
      <w:r w:rsidR="00D31DDB" w:rsidRPr="001B0B1A">
        <w:rPr>
          <w:rFonts w:ascii="Times New Roman" w:eastAsia="Calibri" w:hAnsi="Times New Roman" w:cs="Times New Roman"/>
          <w:bCs/>
          <w:sz w:val="24"/>
          <w:szCs w:val="24"/>
        </w:rPr>
        <w:t xml:space="preserve">erechos de la </w:t>
      </w:r>
      <w:r w:rsidR="00A73BD6">
        <w:rPr>
          <w:rFonts w:ascii="Times New Roman" w:eastAsia="Calibri" w:hAnsi="Times New Roman" w:cs="Times New Roman"/>
          <w:bCs/>
          <w:sz w:val="24"/>
          <w:szCs w:val="24"/>
        </w:rPr>
        <w:t>M</w:t>
      </w:r>
      <w:r w:rsidR="00D31DDB" w:rsidRPr="001B0B1A">
        <w:rPr>
          <w:rFonts w:ascii="Times New Roman" w:eastAsia="Calibri" w:hAnsi="Times New Roman" w:cs="Times New Roman"/>
          <w:bCs/>
          <w:sz w:val="24"/>
          <w:szCs w:val="24"/>
        </w:rPr>
        <w:t xml:space="preserve">ujer en el </w:t>
      </w:r>
      <w:r w:rsidR="00A73BD6">
        <w:rPr>
          <w:rFonts w:ascii="Times New Roman" w:eastAsia="Calibri" w:hAnsi="Times New Roman" w:cs="Times New Roman"/>
          <w:bCs/>
          <w:sz w:val="24"/>
          <w:szCs w:val="24"/>
        </w:rPr>
        <w:t>M</w:t>
      </w:r>
      <w:r w:rsidR="00D31DDB" w:rsidRPr="001B0B1A">
        <w:rPr>
          <w:rFonts w:ascii="Times New Roman" w:eastAsia="Calibri" w:hAnsi="Times New Roman" w:cs="Times New Roman"/>
          <w:bCs/>
          <w:sz w:val="24"/>
          <w:szCs w:val="24"/>
        </w:rPr>
        <w:t>atrimonio</w:t>
      </w:r>
      <w:r w:rsidR="00A73BD6">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xml:space="preserve"> la </w:t>
      </w:r>
      <w:hyperlink r:id="rId11" w:history="1">
        <w:r w:rsidR="00D31DDB" w:rsidRPr="001B0B1A">
          <w:rPr>
            <w:rFonts w:ascii="Times New Roman" w:hAnsi="Times New Roman" w:cs="Times New Roman"/>
            <w:sz w:val="24"/>
            <w:szCs w:val="24"/>
          </w:rPr>
          <w:t>Convención sobre la Nacionalidad de la Mujer Casada</w:t>
        </w:r>
      </w:hyperlink>
      <w:r w:rsidR="00D31DDB" w:rsidRPr="001B0B1A">
        <w:rPr>
          <w:rFonts w:ascii="Times New Roman" w:eastAsia="Calibri" w:hAnsi="Times New Roman" w:cs="Times New Roman"/>
          <w:bCs/>
          <w:sz w:val="24"/>
          <w:szCs w:val="24"/>
        </w:rPr>
        <w:t xml:space="preserve"> </w:t>
      </w:r>
      <w:r w:rsidR="00A73BD6">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1957</w:t>
      </w:r>
      <w:r w:rsidR="00A73BD6">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xml:space="preserve"> así como la </w:t>
      </w:r>
      <w:r w:rsidR="00D31DDB" w:rsidRPr="001B0B1A">
        <w:rPr>
          <w:rFonts w:ascii="Times New Roman" w:hAnsi="Times New Roman" w:cs="Times New Roman"/>
          <w:sz w:val="24"/>
          <w:szCs w:val="24"/>
        </w:rPr>
        <w:t xml:space="preserve">Convención sobre el </w:t>
      </w:r>
      <w:r w:rsidR="00A73BD6">
        <w:rPr>
          <w:rFonts w:ascii="Times New Roman" w:hAnsi="Times New Roman" w:cs="Times New Roman"/>
          <w:sz w:val="24"/>
          <w:szCs w:val="24"/>
        </w:rPr>
        <w:t>C</w:t>
      </w:r>
      <w:r w:rsidR="00D31DDB" w:rsidRPr="001B0B1A">
        <w:rPr>
          <w:rFonts w:ascii="Times New Roman" w:hAnsi="Times New Roman" w:cs="Times New Roman"/>
          <w:sz w:val="24"/>
          <w:szCs w:val="24"/>
        </w:rPr>
        <w:t xml:space="preserve">onsentimiento para el </w:t>
      </w:r>
      <w:r w:rsidR="00A73BD6">
        <w:rPr>
          <w:rFonts w:ascii="Times New Roman" w:hAnsi="Times New Roman" w:cs="Times New Roman"/>
          <w:sz w:val="24"/>
          <w:szCs w:val="24"/>
        </w:rPr>
        <w:t>M</w:t>
      </w:r>
      <w:r w:rsidR="00D31DDB" w:rsidRPr="001B0B1A">
        <w:rPr>
          <w:rFonts w:ascii="Times New Roman" w:hAnsi="Times New Roman" w:cs="Times New Roman"/>
          <w:sz w:val="24"/>
          <w:szCs w:val="24"/>
        </w:rPr>
        <w:t xml:space="preserve">atrimonio, la </w:t>
      </w:r>
      <w:r w:rsidR="00A05C6B">
        <w:rPr>
          <w:rFonts w:ascii="Times New Roman" w:hAnsi="Times New Roman" w:cs="Times New Roman"/>
          <w:sz w:val="24"/>
          <w:szCs w:val="24"/>
        </w:rPr>
        <w:t>E</w:t>
      </w:r>
      <w:r w:rsidR="00D31DDB" w:rsidRPr="001B0B1A">
        <w:rPr>
          <w:rFonts w:ascii="Times New Roman" w:hAnsi="Times New Roman" w:cs="Times New Roman"/>
          <w:sz w:val="24"/>
          <w:szCs w:val="24"/>
        </w:rPr>
        <w:t xml:space="preserve">dad </w:t>
      </w:r>
      <w:r w:rsidR="00A05C6B">
        <w:rPr>
          <w:rFonts w:ascii="Times New Roman" w:hAnsi="Times New Roman" w:cs="Times New Roman"/>
          <w:sz w:val="24"/>
          <w:szCs w:val="24"/>
        </w:rPr>
        <w:t>M</w:t>
      </w:r>
      <w:r w:rsidR="00D31DDB" w:rsidRPr="001B0B1A">
        <w:rPr>
          <w:rFonts w:ascii="Times New Roman" w:hAnsi="Times New Roman" w:cs="Times New Roman"/>
          <w:sz w:val="24"/>
          <w:szCs w:val="24"/>
        </w:rPr>
        <w:t xml:space="preserve">ínima para </w:t>
      </w:r>
      <w:r w:rsidR="00A05C6B">
        <w:rPr>
          <w:rFonts w:ascii="Times New Roman" w:hAnsi="Times New Roman" w:cs="Times New Roman"/>
          <w:sz w:val="24"/>
          <w:szCs w:val="24"/>
        </w:rPr>
        <w:t>C</w:t>
      </w:r>
      <w:r w:rsidR="00D31DDB" w:rsidRPr="001B0B1A">
        <w:rPr>
          <w:rFonts w:ascii="Times New Roman" w:hAnsi="Times New Roman" w:cs="Times New Roman"/>
          <w:sz w:val="24"/>
          <w:szCs w:val="24"/>
        </w:rPr>
        <w:t xml:space="preserve">ontraer </w:t>
      </w:r>
      <w:r w:rsidR="00A05C6B">
        <w:rPr>
          <w:rFonts w:ascii="Times New Roman" w:hAnsi="Times New Roman" w:cs="Times New Roman"/>
          <w:sz w:val="24"/>
          <w:szCs w:val="24"/>
        </w:rPr>
        <w:t>M</w:t>
      </w:r>
      <w:r w:rsidR="00D31DDB" w:rsidRPr="001B0B1A">
        <w:rPr>
          <w:rFonts w:ascii="Times New Roman" w:hAnsi="Times New Roman" w:cs="Times New Roman"/>
          <w:sz w:val="24"/>
          <w:szCs w:val="24"/>
        </w:rPr>
        <w:t xml:space="preserve">atrimonio y su </w:t>
      </w:r>
      <w:r w:rsidR="00A05C6B">
        <w:rPr>
          <w:rFonts w:ascii="Times New Roman" w:hAnsi="Times New Roman" w:cs="Times New Roman"/>
          <w:sz w:val="24"/>
          <w:szCs w:val="24"/>
        </w:rPr>
        <w:t>R</w:t>
      </w:r>
      <w:r w:rsidR="00D31DDB" w:rsidRPr="001B0B1A">
        <w:rPr>
          <w:rFonts w:ascii="Times New Roman" w:hAnsi="Times New Roman" w:cs="Times New Roman"/>
          <w:sz w:val="24"/>
          <w:szCs w:val="24"/>
        </w:rPr>
        <w:t>egistro</w:t>
      </w:r>
      <w:r w:rsidR="00D31DDB" w:rsidRPr="001B0B1A">
        <w:rPr>
          <w:rFonts w:ascii="Times New Roman" w:eastAsia="Calibri" w:hAnsi="Times New Roman" w:cs="Times New Roman"/>
          <w:bCs/>
          <w:sz w:val="24"/>
          <w:szCs w:val="24"/>
        </w:rPr>
        <w:t xml:space="preserve"> </w:t>
      </w:r>
      <w:r w:rsidR="00A73BD6">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1962</w:t>
      </w:r>
      <w:r w:rsidR="00A73BD6">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 (ONU</w:t>
      </w:r>
      <w:r w:rsidR="005E0E18">
        <w:rPr>
          <w:rFonts w:ascii="Times New Roman" w:eastAsia="Calibri" w:hAnsi="Times New Roman" w:cs="Times New Roman"/>
          <w:bCs/>
          <w:sz w:val="24"/>
          <w:szCs w:val="24"/>
        </w:rPr>
        <w:t xml:space="preserve"> M</w:t>
      </w:r>
      <w:r w:rsidR="00D31DDB" w:rsidRPr="001B0B1A">
        <w:rPr>
          <w:rFonts w:ascii="Times New Roman" w:eastAsia="Calibri" w:hAnsi="Times New Roman" w:cs="Times New Roman"/>
          <w:bCs/>
          <w:sz w:val="24"/>
          <w:szCs w:val="24"/>
        </w:rPr>
        <w:t xml:space="preserve">ujeres, </w:t>
      </w:r>
      <w:r w:rsidR="00A73BD6">
        <w:rPr>
          <w:rFonts w:ascii="Times New Roman" w:eastAsia="Calibri" w:hAnsi="Times New Roman" w:cs="Times New Roman"/>
          <w:bCs/>
          <w:sz w:val="24"/>
          <w:szCs w:val="24"/>
        </w:rPr>
        <w:t>2020</w:t>
      </w:r>
      <w:r w:rsidR="00A05C6B">
        <w:rPr>
          <w:rFonts w:ascii="Times New Roman" w:eastAsia="Calibri" w:hAnsi="Times New Roman" w:cs="Times New Roman"/>
          <w:bCs/>
          <w:sz w:val="24"/>
          <w:szCs w:val="24"/>
        </w:rPr>
        <w:t xml:space="preserve">, párr. </w:t>
      </w:r>
      <w:r w:rsidR="0058483E">
        <w:rPr>
          <w:rFonts w:ascii="Times New Roman" w:eastAsia="Calibri" w:hAnsi="Times New Roman" w:cs="Times New Roman"/>
          <w:bCs/>
          <w:sz w:val="24"/>
          <w:szCs w:val="24"/>
        </w:rPr>
        <w:t>4</w:t>
      </w:r>
      <w:r w:rsidR="00D31DDB" w:rsidRPr="001B0B1A">
        <w:rPr>
          <w:rFonts w:ascii="Times New Roman" w:eastAsia="Calibri" w:hAnsi="Times New Roman" w:cs="Times New Roman"/>
          <w:bCs/>
          <w:sz w:val="24"/>
          <w:szCs w:val="24"/>
        </w:rPr>
        <w:t>)</w:t>
      </w:r>
    </w:p>
    <w:p w14:paraId="6BC0A57A" w14:textId="3B134D14" w:rsidR="00E10342" w:rsidRPr="001B0B1A" w:rsidRDefault="00D31DDB" w:rsidP="00450544">
      <w:pPr>
        <w:pStyle w:val="Standard"/>
        <w:spacing w:after="0" w:line="360" w:lineRule="auto"/>
        <w:ind w:firstLine="680"/>
        <w:jc w:val="both"/>
        <w:rPr>
          <w:rFonts w:ascii="Times New Roman" w:hAnsi="Times New Roman" w:cs="Times New Roman"/>
          <w:sz w:val="24"/>
          <w:szCs w:val="24"/>
        </w:rPr>
      </w:pPr>
      <w:r w:rsidRPr="001B0B1A">
        <w:rPr>
          <w:rFonts w:ascii="Times New Roman" w:eastAsia="Calibri" w:hAnsi="Times New Roman" w:cs="Times New Roman"/>
          <w:bCs/>
          <w:sz w:val="24"/>
          <w:szCs w:val="24"/>
        </w:rPr>
        <w:t xml:space="preserve">También esta Comisión fue la encargada de trabajar </w:t>
      </w:r>
      <w:r w:rsidR="005E0E18">
        <w:rPr>
          <w:rFonts w:ascii="Times New Roman" w:eastAsia="Calibri" w:hAnsi="Times New Roman" w:cs="Times New Roman"/>
          <w:bCs/>
          <w:sz w:val="24"/>
          <w:szCs w:val="24"/>
        </w:rPr>
        <w:t xml:space="preserve">junto </w:t>
      </w:r>
      <w:r w:rsidRPr="001B0B1A">
        <w:rPr>
          <w:rFonts w:ascii="Times New Roman" w:eastAsia="Calibri" w:hAnsi="Times New Roman" w:cs="Times New Roman"/>
          <w:bCs/>
          <w:sz w:val="24"/>
          <w:szCs w:val="24"/>
        </w:rPr>
        <w:t>con la ONU</w:t>
      </w:r>
      <w:r w:rsidR="005F159A">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 xml:space="preserve">el </w:t>
      </w:r>
      <w:r w:rsidRPr="005E0E18">
        <w:rPr>
          <w:rFonts w:ascii="Times New Roman" w:eastAsia="Calibri" w:hAnsi="Times New Roman" w:cs="Times New Roman"/>
          <w:bCs/>
          <w:i/>
          <w:sz w:val="24"/>
          <w:szCs w:val="24"/>
        </w:rPr>
        <w:t>Convenio relativo a la igualdad de remuneración entre la mano de obra masculina y la mano de obra femenina por un trabajo de igual valor</w:t>
      </w:r>
      <w:r w:rsidR="005E0E18">
        <w:rPr>
          <w:rFonts w:ascii="Times New Roman" w:eastAsia="Calibri" w:hAnsi="Times New Roman" w:cs="Times New Roman"/>
          <w:bCs/>
          <w:i/>
          <w:sz w:val="24"/>
          <w:szCs w:val="24"/>
        </w:rPr>
        <w:t>,</w:t>
      </w:r>
      <w:r w:rsidRPr="001B0B1A">
        <w:rPr>
          <w:rFonts w:ascii="Times New Roman" w:eastAsia="Calibri" w:hAnsi="Times New Roman" w:cs="Times New Roman"/>
          <w:bCs/>
          <w:sz w:val="24"/>
          <w:szCs w:val="24"/>
        </w:rPr>
        <w:t> de la Organización Internacional del Trabajo (1951), que consagró el principio de igual salario por trabajo igual.</w:t>
      </w:r>
      <w:r w:rsidR="005F159A">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(ONU</w:t>
      </w:r>
      <w:r w:rsidR="005E0E18">
        <w:rPr>
          <w:rFonts w:ascii="Times New Roman" w:eastAsia="Calibri" w:hAnsi="Times New Roman" w:cs="Times New Roman"/>
          <w:bCs/>
          <w:sz w:val="24"/>
          <w:szCs w:val="24"/>
        </w:rPr>
        <w:t xml:space="preserve"> M</w:t>
      </w:r>
      <w:r w:rsidRPr="001B0B1A">
        <w:rPr>
          <w:rFonts w:ascii="Times New Roman" w:eastAsia="Calibri" w:hAnsi="Times New Roman" w:cs="Times New Roman"/>
          <w:bCs/>
          <w:sz w:val="24"/>
          <w:szCs w:val="24"/>
        </w:rPr>
        <w:t xml:space="preserve">ujeres, </w:t>
      </w:r>
      <w:r w:rsidR="00CD10F2">
        <w:rPr>
          <w:rFonts w:ascii="Times New Roman" w:eastAsia="Calibri" w:hAnsi="Times New Roman" w:cs="Times New Roman"/>
          <w:bCs/>
          <w:sz w:val="24"/>
          <w:szCs w:val="24"/>
        </w:rPr>
        <w:t>2020, párr. 4</w:t>
      </w:r>
      <w:r w:rsidRPr="001B0B1A">
        <w:rPr>
          <w:rFonts w:ascii="Times New Roman" w:eastAsia="Calibri" w:hAnsi="Times New Roman" w:cs="Times New Roman"/>
          <w:bCs/>
          <w:sz w:val="24"/>
          <w:szCs w:val="24"/>
        </w:rPr>
        <w:t>)</w:t>
      </w:r>
    </w:p>
    <w:p w14:paraId="06D69729" w14:textId="54705A25" w:rsidR="00E10342" w:rsidRPr="001B0B1A" w:rsidRDefault="00D73112" w:rsidP="00450544">
      <w:pPr>
        <w:pStyle w:val="Standard"/>
        <w:spacing w:after="0" w:line="360" w:lineRule="auto"/>
        <w:ind w:firstLine="680"/>
        <w:jc w:val="both"/>
        <w:rPr>
          <w:rFonts w:ascii="Times New Roman" w:hAnsi="Times New Roman" w:cs="Times New Roman"/>
          <w:sz w:val="24"/>
          <w:szCs w:val="24"/>
        </w:rPr>
      </w:pPr>
      <w:r>
        <w:rPr>
          <w:rFonts w:ascii="Times New Roman" w:eastAsia="Calibri" w:hAnsi="Times New Roman" w:cs="Times New Roman"/>
          <w:bCs/>
          <w:sz w:val="24"/>
          <w:szCs w:val="24"/>
        </w:rPr>
        <w:t>De igual manera,</w:t>
      </w:r>
      <w:r w:rsidRPr="001B0B1A">
        <w:rPr>
          <w:rFonts w:ascii="Times New Roman" w:eastAsia="Calibri" w:hAnsi="Times New Roman" w:cs="Times New Roman"/>
          <w:bCs/>
          <w:sz w:val="24"/>
          <w:szCs w:val="24"/>
        </w:rPr>
        <w:t xml:space="preserve"> </w:t>
      </w:r>
      <w:r w:rsidR="00D31DDB" w:rsidRPr="001B0B1A">
        <w:rPr>
          <w:rFonts w:ascii="Times New Roman" w:eastAsia="Calibri" w:hAnsi="Times New Roman" w:cs="Times New Roman"/>
          <w:bCs/>
          <w:sz w:val="24"/>
          <w:szCs w:val="24"/>
        </w:rPr>
        <w:t>a petición de la Asamblea de la ONU en el año 1963</w:t>
      </w:r>
      <w:r>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 xml:space="preserve">esta </w:t>
      </w:r>
      <w:r>
        <w:rPr>
          <w:rFonts w:ascii="Times New Roman" w:eastAsia="Calibri" w:hAnsi="Times New Roman" w:cs="Times New Roman"/>
          <w:bCs/>
          <w:sz w:val="24"/>
          <w:szCs w:val="24"/>
        </w:rPr>
        <w:t>c</w:t>
      </w:r>
      <w:r w:rsidRPr="001B0B1A">
        <w:rPr>
          <w:rFonts w:ascii="Times New Roman" w:eastAsia="Calibri" w:hAnsi="Times New Roman" w:cs="Times New Roman"/>
          <w:bCs/>
          <w:sz w:val="24"/>
          <w:szCs w:val="24"/>
        </w:rPr>
        <w:t>omisión fue la encargada</w:t>
      </w:r>
      <w:r w:rsidR="00D31DDB" w:rsidRPr="001B0B1A">
        <w:rPr>
          <w:rFonts w:ascii="Times New Roman" w:eastAsia="Calibri" w:hAnsi="Times New Roman" w:cs="Times New Roman"/>
          <w:bCs/>
          <w:sz w:val="24"/>
          <w:szCs w:val="24"/>
        </w:rPr>
        <w:t xml:space="preserve"> de elaborar la </w:t>
      </w:r>
      <w:r w:rsidR="00D31DDB" w:rsidRPr="00A83E09">
        <w:rPr>
          <w:rFonts w:ascii="Times New Roman" w:eastAsia="Calibri" w:hAnsi="Times New Roman" w:cs="Times New Roman"/>
          <w:bCs/>
          <w:i/>
          <w:sz w:val="24"/>
          <w:szCs w:val="24"/>
        </w:rPr>
        <w:t>Declaración sobre la eliminación de la discriminación contra la mujer</w:t>
      </w:r>
      <w:r w:rsidR="00D31DDB" w:rsidRPr="001B0B1A">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la cual</w:t>
      </w:r>
      <w:r w:rsidR="00D31DDB" w:rsidRPr="001B0B1A">
        <w:rPr>
          <w:rFonts w:ascii="Times New Roman" w:eastAsia="Calibri" w:hAnsi="Times New Roman" w:cs="Times New Roman"/>
          <w:bCs/>
          <w:sz w:val="24"/>
          <w:szCs w:val="24"/>
        </w:rPr>
        <w:t xml:space="preserve"> fue aprobada en 1967. A dicha Convención le siguió la</w:t>
      </w:r>
      <w:r w:rsidR="005F159A">
        <w:rPr>
          <w:rFonts w:ascii="Times New Roman" w:eastAsia="Calibri" w:hAnsi="Times New Roman" w:cs="Times New Roman"/>
          <w:bCs/>
          <w:sz w:val="24"/>
          <w:szCs w:val="24"/>
        </w:rPr>
        <w:t xml:space="preserve"> </w:t>
      </w:r>
      <w:hyperlink r:id="rId12" w:history="1">
        <w:r w:rsidR="00D31DDB" w:rsidRPr="001B0B1A">
          <w:rPr>
            <w:rFonts w:ascii="Times New Roman" w:eastAsia="Calibri" w:hAnsi="Times New Roman" w:cs="Times New Roman"/>
            <w:bCs/>
            <w:sz w:val="24"/>
            <w:szCs w:val="24"/>
          </w:rPr>
          <w:t>Convención sobre la eliminación de todas las formas de discriminación contra la mujer</w:t>
        </w:r>
      </w:hyperlink>
      <w:r w:rsidR="00D31DDB" w:rsidRPr="001B0B1A">
        <w:rPr>
          <w:rFonts w:ascii="Times New Roman" w:eastAsia="Calibri" w:hAnsi="Times New Roman" w:cs="Times New Roman"/>
          <w:bCs/>
          <w:sz w:val="24"/>
          <w:szCs w:val="24"/>
        </w:rPr>
        <w:t> (CEDAW),</w:t>
      </w:r>
      <w:r>
        <w:rPr>
          <w:rFonts w:ascii="Times New Roman" w:eastAsia="Calibri" w:hAnsi="Times New Roman" w:cs="Times New Roman"/>
          <w:bCs/>
          <w:sz w:val="24"/>
          <w:szCs w:val="24"/>
        </w:rPr>
        <w:t xml:space="preserve"> en</w:t>
      </w:r>
      <w:r w:rsidR="00D31DDB" w:rsidRPr="001B0B1A">
        <w:rPr>
          <w:rFonts w:ascii="Times New Roman" w:eastAsia="Calibri" w:hAnsi="Times New Roman" w:cs="Times New Roman"/>
          <w:bCs/>
          <w:sz w:val="24"/>
          <w:szCs w:val="24"/>
        </w:rPr>
        <w:t xml:space="preserve"> 1979, así como el </w:t>
      </w:r>
      <w:hyperlink r:id="rId13" w:history="1">
        <w:r w:rsidR="00D31DDB" w:rsidRPr="001B0B1A">
          <w:rPr>
            <w:rFonts w:ascii="Times New Roman" w:eastAsia="Calibri" w:hAnsi="Times New Roman" w:cs="Times New Roman"/>
            <w:bCs/>
            <w:sz w:val="24"/>
            <w:szCs w:val="24"/>
          </w:rPr>
          <w:t>Protocolo Facultativo de la Convención</w:t>
        </w:r>
      </w:hyperlink>
      <w:r>
        <w:rPr>
          <w:rFonts w:ascii="Times New Roman" w:eastAsia="Calibri" w:hAnsi="Times New Roman" w:cs="Times New Roman"/>
          <w:bCs/>
          <w:sz w:val="24"/>
          <w:szCs w:val="24"/>
        </w:rPr>
        <w:t>, que</w:t>
      </w:r>
      <w:r w:rsidR="00D31DDB" w:rsidRPr="001B0B1A">
        <w:rPr>
          <w:rFonts w:ascii="Times New Roman" w:eastAsia="Calibri" w:hAnsi="Times New Roman" w:cs="Times New Roman"/>
          <w:bCs/>
          <w:sz w:val="24"/>
          <w:szCs w:val="24"/>
        </w:rPr>
        <w:t xml:space="preserve"> introdujo el derecho de presentar una demanda para las mujeres víctimas de discriminación </w:t>
      </w:r>
      <w:r>
        <w:rPr>
          <w:rFonts w:ascii="Times New Roman" w:eastAsia="Calibri" w:hAnsi="Times New Roman" w:cs="Times New Roman"/>
          <w:bCs/>
          <w:sz w:val="24"/>
          <w:szCs w:val="24"/>
        </w:rPr>
        <w:t>(</w:t>
      </w:r>
      <w:r w:rsidR="00D31DDB" w:rsidRPr="001B0B1A">
        <w:rPr>
          <w:rFonts w:ascii="Times New Roman" w:eastAsia="Calibri" w:hAnsi="Times New Roman" w:cs="Times New Roman"/>
          <w:bCs/>
          <w:sz w:val="24"/>
          <w:szCs w:val="24"/>
        </w:rPr>
        <w:t>1999</w:t>
      </w:r>
      <w:r>
        <w:rPr>
          <w:rFonts w:ascii="Times New Roman" w:eastAsia="Calibri" w:hAnsi="Times New Roman" w:cs="Times New Roman"/>
          <w:bCs/>
          <w:sz w:val="24"/>
          <w:szCs w:val="24"/>
        </w:rPr>
        <w:t>)</w:t>
      </w:r>
      <w:r w:rsidR="005F159A">
        <w:rPr>
          <w:rFonts w:ascii="Times New Roman" w:eastAsia="Calibri" w:hAnsi="Times New Roman" w:cs="Times New Roman"/>
          <w:bCs/>
          <w:sz w:val="24"/>
          <w:szCs w:val="24"/>
        </w:rPr>
        <w:t xml:space="preserve"> </w:t>
      </w:r>
      <w:r w:rsidR="00D31DDB" w:rsidRPr="001B0B1A">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ONU</w:t>
      </w:r>
      <w:r>
        <w:rPr>
          <w:rFonts w:ascii="Times New Roman" w:eastAsia="Calibri" w:hAnsi="Times New Roman" w:cs="Times New Roman"/>
          <w:bCs/>
          <w:sz w:val="24"/>
          <w:szCs w:val="24"/>
        </w:rPr>
        <w:t xml:space="preserve"> M</w:t>
      </w:r>
      <w:r w:rsidRPr="001B0B1A">
        <w:rPr>
          <w:rFonts w:ascii="Times New Roman" w:eastAsia="Calibri" w:hAnsi="Times New Roman" w:cs="Times New Roman"/>
          <w:bCs/>
          <w:sz w:val="24"/>
          <w:szCs w:val="24"/>
        </w:rPr>
        <w:t xml:space="preserve">ujeres, </w:t>
      </w:r>
      <w:r>
        <w:rPr>
          <w:rFonts w:ascii="Times New Roman" w:eastAsia="Calibri" w:hAnsi="Times New Roman" w:cs="Times New Roman"/>
          <w:bCs/>
          <w:sz w:val="24"/>
          <w:szCs w:val="24"/>
        </w:rPr>
        <w:t>2020, párr. 5</w:t>
      </w:r>
      <w:r w:rsidR="00D31DDB" w:rsidRPr="001B0B1A">
        <w:rPr>
          <w:rFonts w:ascii="Times New Roman" w:eastAsia="Calibri" w:hAnsi="Times New Roman" w:cs="Times New Roman"/>
          <w:bCs/>
          <w:sz w:val="24"/>
          <w:szCs w:val="24"/>
        </w:rPr>
        <w:t>)</w:t>
      </w:r>
      <w:r>
        <w:rPr>
          <w:rFonts w:ascii="Times New Roman" w:eastAsia="Calibri" w:hAnsi="Times New Roman" w:cs="Times New Roman"/>
          <w:bCs/>
          <w:sz w:val="24"/>
          <w:szCs w:val="24"/>
        </w:rPr>
        <w:t>.</w:t>
      </w:r>
    </w:p>
    <w:p w14:paraId="3276AFA0" w14:textId="42142BFD" w:rsidR="00E10342" w:rsidRPr="001B0B1A" w:rsidRDefault="00D31DDB" w:rsidP="00450544">
      <w:pPr>
        <w:pStyle w:val="Standard"/>
        <w:spacing w:after="0" w:line="360" w:lineRule="auto"/>
        <w:ind w:firstLine="680"/>
        <w:jc w:val="both"/>
        <w:rPr>
          <w:rFonts w:ascii="Times New Roman" w:hAnsi="Times New Roman" w:cs="Times New Roman"/>
          <w:sz w:val="24"/>
          <w:szCs w:val="24"/>
        </w:rPr>
      </w:pPr>
      <w:r w:rsidRPr="001B0B1A">
        <w:rPr>
          <w:rFonts w:ascii="Times New Roman" w:eastAsia="Calibri" w:hAnsi="Times New Roman" w:cs="Times New Roman"/>
          <w:bCs/>
          <w:sz w:val="24"/>
          <w:szCs w:val="24"/>
        </w:rPr>
        <w:t>A esta corriente de convenciones</w:t>
      </w:r>
      <w:r w:rsidR="00D73112">
        <w:rPr>
          <w:rFonts w:ascii="Times New Roman" w:eastAsia="Calibri" w:hAnsi="Times New Roman" w:cs="Times New Roman"/>
          <w:bCs/>
          <w:sz w:val="24"/>
          <w:szCs w:val="24"/>
        </w:rPr>
        <w:t>,</w:t>
      </w:r>
      <w:r w:rsidRPr="001B0B1A">
        <w:rPr>
          <w:rFonts w:ascii="Times New Roman" w:eastAsia="Calibri" w:hAnsi="Times New Roman" w:cs="Times New Roman"/>
          <w:bCs/>
          <w:sz w:val="24"/>
          <w:szCs w:val="24"/>
        </w:rPr>
        <w:t xml:space="preserve"> le siguió</w:t>
      </w:r>
      <w:r w:rsidR="005F159A">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 xml:space="preserve">la </w:t>
      </w:r>
      <w:r w:rsidRPr="001B0B1A">
        <w:rPr>
          <w:rFonts w:ascii="Times New Roman" w:eastAsia="Calibri" w:hAnsi="Times New Roman" w:cs="Times New Roman"/>
          <w:bCs/>
          <w:sz w:val="24"/>
          <w:szCs w:val="24"/>
          <w:lang w:val="es-SV"/>
        </w:rPr>
        <w:t>Convención de Belem do Pará, un</w:t>
      </w:r>
      <w:r w:rsidR="005F159A">
        <w:rPr>
          <w:rFonts w:ascii="Times New Roman" w:eastAsia="Calibri" w:hAnsi="Times New Roman" w:cs="Times New Roman"/>
          <w:bCs/>
          <w:sz w:val="24"/>
          <w:szCs w:val="24"/>
          <w:lang w:val="es-SV"/>
        </w:rPr>
        <w:t xml:space="preserve"> </w:t>
      </w:r>
      <w:r w:rsidRPr="001B0B1A">
        <w:rPr>
          <w:rFonts w:ascii="Times New Roman" w:eastAsia="Calibri" w:hAnsi="Times New Roman" w:cs="Times New Roman"/>
          <w:bCs/>
          <w:sz w:val="24"/>
          <w:szCs w:val="24"/>
        </w:rPr>
        <w:t xml:space="preserve">instrumento internacional </w:t>
      </w:r>
      <w:r w:rsidR="00D73112">
        <w:rPr>
          <w:rFonts w:ascii="Times New Roman" w:eastAsia="Calibri" w:hAnsi="Times New Roman" w:cs="Times New Roman"/>
          <w:bCs/>
          <w:sz w:val="24"/>
          <w:szCs w:val="24"/>
        </w:rPr>
        <w:t>que</w:t>
      </w:r>
      <w:r w:rsidRPr="001B0B1A">
        <w:rPr>
          <w:rFonts w:ascii="Times New Roman" w:eastAsia="Calibri" w:hAnsi="Times New Roman" w:cs="Times New Roman"/>
          <w:bCs/>
          <w:sz w:val="24"/>
          <w:szCs w:val="24"/>
        </w:rPr>
        <w:t>, junto con otras convenciones de derechos humanos, impacta de manera importante en cuanto a la violencia doméstica con el fin de brindar protección especial a sus víctimas, despertando el papel de protector de los estados en cuanto a seguridad y bienestar en favor de las personas en condición de vulnerabilidad,</w:t>
      </w:r>
      <w:r w:rsidR="00D73112">
        <w:rPr>
          <w:rFonts w:ascii="Times New Roman" w:eastAsia="Calibri" w:hAnsi="Times New Roman" w:cs="Times New Roman"/>
          <w:bCs/>
          <w:sz w:val="24"/>
          <w:szCs w:val="24"/>
        </w:rPr>
        <w:t xml:space="preserve"> </w:t>
      </w:r>
      <w:r w:rsidRPr="001B0B1A">
        <w:rPr>
          <w:rFonts w:ascii="Times New Roman" w:eastAsia="Calibri" w:hAnsi="Times New Roman" w:cs="Times New Roman"/>
          <w:bCs/>
          <w:sz w:val="24"/>
          <w:szCs w:val="24"/>
        </w:rPr>
        <w:t xml:space="preserve">creado por la </w:t>
      </w:r>
      <w:r w:rsidRPr="001B0B1A">
        <w:rPr>
          <w:rFonts w:ascii="Times New Roman" w:eastAsia="Calibri" w:hAnsi="Times New Roman" w:cs="Times New Roman"/>
          <w:bCs/>
          <w:sz w:val="24"/>
          <w:szCs w:val="24"/>
        </w:rPr>
        <w:lastRenderedPageBreak/>
        <w:t xml:space="preserve">Organización de los Estados Americanos a través de la Comisión Interamericana de Mujeres (OEA, </w:t>
      </w:r>
      <w:r w:rsidR="00E16413">
        <w:rPr>
          <w:rFonts w:ascii="Times New Roman" w:eastAsia="Calibri" w:hAnsi="Times New Roman" w:cs="Times New Roman"/>
          <w:bCs/>
          <w:sz w:val="24"/>
          <w:szCs w:val="24"/>
        </w:rPr>
        <w:t>2020</w:t>
      </w:r>
      <w:r w:rsidR="00BD4D27">
        <w:rPr>
          <w:rFonts w:ascii="Times New Roman" w:eastAsia="Calibri" w:hAnsi="Times New Roman" w:cs="Times New Roman"/>
          <w:bCs/>
          <w:sz w:val="24"/>
          <w:szCs w:val="24"/>
        </w:rPr>
        <w:t>, párr. 1</w:t>
      </w:r>
      <w:r w:rsidRPr="001B0B1A">
        <w:rPr>
          <w:rFonts w:ascii="Times New Roman" w:eastAsia="Calibri" w:hAnsi="Times New Roman" w:cs="Times New Roman"/>
          <w:bCs/>
          <w:sz w:val="24"/>
          <w:szCs w:val="24"/>
        </w:rPr>
        <w:t>)</w:t>
      </w:r>
      <w:r w:rsidR="00BD4D27">
        <w:rPr>
          <w:rFonts w:ascii="Times New Roman" w:eastAsia="Calibri" w:hAnsi="Times New Roman" w:cs="Times New Roman"/>
          <w:bCs/>
          <w:sz w:val="24"/>
          <w:szCs w:val="24"/>
        </w:rPr>
        <w:t>.</w:t>
      </w:r>
    </w:p>
    <w:p w14:paraId="0E3C4ED7" w14:textId="3665720D" w:rsidR="00E10342" w:rsidRPr="00450544" w:rsidRDefault="00D31DDB" w:rsidP="00450544">
      <w:pPr>
        <w:pStyle w:val="Ttulo3"/>
      </w:pPr>
      <w:bookmarkStart w:id="55" w:name="_Toc45205379"/>
      <w:bookmarkStart w:id="56" w:name="_Toc61276971"/>
      <w:bookmarkStart w:id="57" w:name="__RefHeading__27437_1894434827"/>
      <w:bookmarkStart w:id="58" w:name="_Toc62463320"/>
      <w:bookmarkStart w:id="59" w:name="_Toc62476056"/>
      <w:bookmarkStart w:id="60" w:name="_Toc62476262"/>
      <w:bookmarkStart w:id="61" w:name="_Toc63688929"/>
      <w:r w:rsidRPr="00450544">
        <w:t>1.4.2. Abordaje de la</w:t>
      </w:r>
      <w:bookmarkEnd w:id="55"/>
      <w:r w:rsidRPr="00450544">
        <w:t xml:space="preserve"> </w:t>
      </w:r>
      <w:bookmarkStart w:id="62" w:name="_Toc45205380"/>
      <w:r w:rsidRPr="00450544">
        <w:t>Violencia Doméstica a Nivel Judicial en Costa Rica</w:t>
      </w:r>
      <w:bookmarkEnd w:id="56"/>
      <w:bookmarkEnd w:id="57"/>
      <w:bookmarkEnd w:id="58"/>
      <w:bookmarkEnd w:id="59"/>
      <w:bookmarkEnd w:id="60"/>
      <w:bookmarkEnd w:id="61"/>
      <w:bookmarkEnd w:id="62"/>
    </w:p>
    <w:p w14:paraId="3AA94D0C" w14:textId="589AF3D8" w:rsidR="00E10342" w:rsidRPr="00BD4D27" w:rsidRDefault="00D31DDB" w:rsidP="005A1B36">
      <w:pPr>
        <w:rPr>
          <w:rFonts w:cs="Times New Roman"/>
        </w:rPr>
      </w:pPr>
      <w:r w:rsidRPr="00BD4D27">
        <w:t>E</w:t>
      </w:r>
      <w:r w:rsidR="001B0B1A" w:rsidRPr="00BD4D27">
        <w:t>l</w:t>
      </w:r>
      <w:r w:rsidRPr="00BD4D27">
        <w:t xml:space="preserve"> Poder Judicial</w:t>
      </w:r>
      <w:r w:rsidR="00BD4D27" w:rsidRPr="00BD4D27">
        <w:t>,</w:t>
      </w:r>
      <w:r w:rsidRPr="00BD4D27">
        <w:t xml:space="preserve"> interesado en brindar atención y seguimiento</w:t>
      </w:r>
      <w:r w:rsidR="00BD4D27" w:rsidRPr="00BD4D27">
        <w:t>,</w:t>
      </w:r>
      <w:r w:rsidRPr="00BD4D27">
        <w:t xml:space="preserve"> así como prevención a la problemática social surgida de la violencia intrafamil</w:t>
      </w:r>
      <w:r w:rsidR="00645E7D">
        <w:t>i</w:t>
      </w:r>
      <w:r w:rsidRPr="00BD4D27">
        <w:t>ar ante la eminente necesidad de brindar contenido a las Convenciones Internacionales que se habían venido incorporando a nuestro sistema jurídico desde el año de 1995</w:t>
      </w:r>
      <w:r w:rsidR="00BD4D27" w:rsidRPr="00BD4D27">
        <w:t>,</w:t>
      </w:r>
      <w:r w:rsidRPr="00BD4D27">
        <w:t xml:space="preserve"> había conformado la </w:t>
      </w:r>
      <w:r w:rsidRPr="00A83E09">
        <w:rPr>
          <w:i/>
        </w:rPr>
        <w:t>Comisión permanente para el seguimiento de la atención y la prevención de la violencia intrafamiliar</w:t>
      </w:r>
      <w:r w:rsidRPr="00BD4D27">
        <w:t xml:space="preserve"> en el Poder Judicial</w:t>
      </w:r>
      <w:r w:rsidR="00D97F6B">
        <w:t>,</w:t>
      </w:r>
      <w:r w:rsidRPr="00BD4D27">
        <w:t xml:space="preserve"> con el objetivo de unirse a</w:t>
      </w:r>
      <w:r w:rsidR="00BD4D27" w:rsidRPr="00BD4D27">
        <w:t xml:space="preserve"> la</w:t>
      </w:r>
      <w:r w:rsidRPr="00BD4D27">
        <w:t xml:space="preserve"> propuesta nacional de dar atención y prevención a la violencia intrafamiliar que ejecutaba Plan Nacional para la Atención y Prevención de la Violencia Intrafamiliar (PLANOVI), ordinado por</w:t>
      </w:r>
      <w:r w:rsidR="005F159A">
        <w:t xml:space="preserve"> </w:t>
      </w:r>
      <w:r w:rsidRPr="00BD4D27">
        <w:t xml:space="preserve">Centro Nacional para el Desarrollo de la Mujer y la Familia, transformado por ley </w:t>
      </w:r>
      <w:proofErr w:type="spellStart"/>
      <w:r w:rsidRPr="00BD4D27">
        <w:t>N</w:t>
      </w:r>
      <w:r w:rsidR="004A680E">
        <w:t>.</w:t>
      </w:r>
      <w:r w:rsidRPr="00BD4D27">
        <w:t>°</w:t>
      </w:r>
      <w:proofErr w:type="spellEnd"/>
      <w:r w:rsidRPr="00BD4D27">
        <w:t xml:space="preserve"> 7801 del 29 de abril de 1998 en el Instituto Nacional de las Mujeres (Poder Judicial, </w:t>
      </w:r>
      <w:r w:rsidR="004A680E">
        <w:t>2020</w:t>
      </w:r>
      <w:r w:rsidR="00D97F6B">
        <w:t>, párr. 1</w:t>
      </w:r>
      <w:r w:rsidRPr="00BD4D27">
        <w:t>)</w:t>
      </w:r>
    </w:p>
    <w:p w14:paraId="19645523" w14:textId="36FD646F" w:rsidR="00E10342" w:rsidRPr="001B0B1A" w:rsidRDefault="005F5807" w:rsidP="005A1B36">
      <w:pPr>
        <w:rPr>
          <w:rFonts w:cs="Times New Roman"/>
        </w:rPr>
      </w:pPr>
      <w:r>
        <w:t>P</w:t>
      </w:r>
      <w:r w:rsidR="00D31DDB" w:rsidRPr="001B0B1A">
        <w:t>ara el año 2002, durante la sesión de Corte Plena 39-2002</w:t>
      </w:r>
      <w:r>
        <w:t>,</w:t>
      </w:r>
      <w:r w:rsidR="00D31DDB" w:rsidRPr="001B0B1A">
        <w:t xml:space="preserve"> del 26 de agosto de 2002</w:t>
      </w:r>
      <w:r>
        <w:t>,</w:t>
      </w:r>
      <w:r w:rsidR="005F159A">
        <w:t xml:space="preserve"> </w:t>
      </w:r>
      <w:r w:rsidR="00D31DDB" w:rsidRPr="001B0B1A">
        <w:t>en su artículo XVI, se acordó mantener “la Comisión Permanente para el Seguimiento de la atención y prevención de la violencia intrafam</w:t>
      </w:r>
      <w:r w:rsidR="00714EC3">
        <w:t>i</w:t>
      </w:r>
      <w:r w:rsidR="00D31DDB" w:rsidRPr="001B0B1A">
        <w:t xml:space="preserve">liar en el Poder Judicial” (Poder Judicial, </w:t>
      </w:r>
      <w:r w:rsidR="00D97F6B">
        <w:t xml:space="preserve">2020, párr. </w:t>
      </w:r>
      <w:r>
        <w:t>6</w:t>
      </w:r>
      <w:r w:rsidR="00D31DDB" w:rsidRPr="001B0B1A">
        <w:t>)</w:t>
      </w:r>
      <w:r>
        <w:t>.</w:t>
      </w:r>
    </w:p>
    <w:p w14:paraId="092683CD" w14:textId="3B5A58E2" w:rsidR="00E10342" w:rsidRPr="001B0B1A" w:rsidRDefault="00D31DDB" w:rsidP="005A1B36">
      <w:pPr>
        <w:rPr>
          <w:rFonts w:cs="Times New Roman"/>
        </w:rPr>
      </w:pPr>
      <w:r w:rsidRPr="001B0B1A">
        <w:t xml:space="preserve">Y no menos importante es indicar </w:t>
      </w:r>
      <w:r w:rsidRPr="001B0B1A">
        <w:rPr>
          <w:rFonts w:eastAsia="Calibri" w:cs="Times New Roman"/>
          <w:bCs/>
        </w:rPr>
        <w:t>que</w:t>
      </w:r>
      <w:r w:rsidR="005F5807">
        <w:rPr>
          <w:rFonts w:eastAsia="Calibri" w:cs="Times New Roman"/>
          <w:bCs/>
        </w:rPr>
        <w:t>,</w:t>
      </w:r>
      <w:r w:rsidRPr="001B0B1A">
        <w:rPr>
          <w:rFonts w:eastAsia="Calibri" w:cs="Times New Roman"/>
          <w:bCs/>
        </w:rPr>
        <w:t xml:space="preserve"> en el año 2000</w:t>
      </w:r>
      <w:r w:rsidR="005F5807">
        <w:rPr>
          <w:rFonts w:eastAsia="Calibri" w:cs="Times New Roman"/>
          <w:bCs/>
        </w:rPr>
        <w:t>,</w:t>
      </w:r>
      <w:r w:rsidRPr="001B0B1A">
        <w:rPr>
          <w:rFonts w:eastAsia="Calibri" w:cs="Times New Roman"/>
          <w:bCs/>
        </w:rPr>
        <w:t xml:space="preserve"> se crearon los juzgados especializados en la materia de violencia doméstica en cada cabecera de provincia, a saber: San José, Cartago, Heredia, Hatillo, Limón, Liberia, Puntarenas y Alajuela, lo que, con el pasar del tiempo, se ha extendido a otros rincones del territorio nacional. Igualmente, se creó el Juzgado de Turno Extraordinario, que brinda atención las 24 horas del día durante todo el año. Y, posteriormente, se creó en el año 2003 el </w:t>
      </w:r>
      <w:r w:rsidRPr="001B0B1A">
        <w:rPr>
          <w:rFonts w:eastAsia="Calibri" w:cs="Times New Roman"/>
          <w:bCs/>
          <w:lang w:val="es-SV"/>
        </w:rPr>
        <w:t>Juzgado Contra la Violencia Doméstica II Circuito Judicial, con la finalidad de brindar atención judicial a la población que requiera proteger su vida, dignidad e integridad, según los principios rectores de la Ley Contra la Violencia Doméstica, según el artículo único de la Ley</w:t>
      </w:r>
      <w:r w:rsidRPr="001B0B1A">
        <w:rPr>
          <w:rFonts w:eastAsia="Calibri" w:cs="Times New Roman"/>
          <w:bCs/>
          <w:color w:val="000000"/>
        </w:rPr>
        <w:t xml:space="preserve"> 8128 del 29 de agosto 2001.</w:t>
      </w:r>
    </w:p>
    <w:p w14:paraId="4973576E" w14:textId="77777777" w:rsidR="00E10342" w:rsidRPr="00450544" w:rsidRDefault="00D31DDB" w:rsidP="00450544">
      <w:pPr>
        <w:pStyle w:val="Ttulo3"/>
      </w:pPr>
      <w:bookmarkStart w:id="63" w:name="__RefHeading__27439_1894434827"/>
      <w:bookmarkStart w:id="64" w:name="_Toc61276972"/>
      <w:bookmarkStart w:id="65" w:name="_Toc45205381"/>
      <w:bookmarkStart w:id="66" w:name="_Toc62463321"/>
      <w:bookmarkStart w:id="67" w:name="_Toc62476057"/>
      <w:bookmarkStart w:id="68" w:name="_Toc62476263"/>
      <w:bookmarkStart w:id="69" w:name="_Toc63688930"/>
      <w:r w:rsidRPr="00450544">
        <w:t>1.4.3. Estadísticas a Nivel Nacional sobre Violencia Doméstica</w:t>
      </w:r>
      <w:bookmarkEnd w:id="63"/>
      <w:bookmarkEnd w:id="64"/>
      <w:bookmarkEnd w:id="65"/>
      <w:bookmarkEnd w:id="66"/>
      <w:bookmarkEnd w:id="67"/>
      <w:bookmarkEnd w:id="68"/>
      <w:bookmarkEnd w:id="69"/>
    </w:p>
    <w:p w14:paraId="538CEBF5" w14:textId="324EBD8B" w:rsidR="00BD36F2" w:rsidRDefault="00D31DDB" w:rsidP="00333D21">
      <w:pPr>
        <w:pStyle w:val="Standard"/>
        <w:spacing w:after="200" w:line="360" w:lineRule="auto"/>
        <w:ind w:firstLine="709"/>
        <w:jc w:val="both"/>
      </w:pPr>
      <w:r>
        <w:rPr>
          <w:rFonts w:ascii="Times New Roman" w:eastAsia="Calibri" w:hAnsi="Times New Roman" w:cs="Times New Roman"/>
          <w:bCs/>
          <w:sz w:val="24"/>
          <w:szCs w:val="24"/>
          <w:lang w:val="es-SV"/>
        </w:rPr>
        <w:t xml:space="preserve">De importancia para esta investigación es </w:t>
      </w:r>
      <w:r w:rsidR="00714EC3">
        <w:rPr>
          <w:rFonts w:ascii="Times New Roman" w:eastAsia="Calibri" w:hAnsi="Times New Roman" w:cs="Times New Roman"/>
          <w:bCs/>
          <w:sz w:val="24"/>
          <w:szCs w:val="24"/>
          <w:lang w:val="es-SV"/>
        </w:rPr>
        <w:t>que,</w:t>
      </w:r>
      <w:r>
        <w:rPr>
          <w:rFonts w:ascii="Times New Roman" w:eastAsia="Calibri" w:hAnsi="Times New Roman" w:cs="Times New Roman"/>
          <w:bCs/>
          <w:sz w:val="24"/>
          <w:szCs w:val="24"/>
          <w:lang w:val="es-SV"/>
        </w:rPr>
        <w:t xml:space="preserve"> a nivel estadístico, teniendo como fuente al Poder Judicial, para los años</w:t>
      </w:r>
      <w:r w:rsidR="005F159A">
        <w:rPr>
          <w:rFonts w:ascii="Times New Roman" w:eastAsia="Calibri" w:hAnsi="Times New Roman" w:cs="Times New Roman"/>
          <w:bCs/>
          <w:sz w:val="24"/>
          <w:szCs w:val="24"/>
          <w:lang w:val="es-SV"/>
        </w:rPr>
        <w:t xml:space="preserve"> </w:t>
      </w:r>
      <w:r>
        <w:rPr>
          <w:rFonts w:ascii="Times New Roman" w:eastAsia="Calibri" w:hAnsi="Times New Roman" w:cs="Times New Roman"/>
          <w:bCs/>
          <w:sz w:val="24"/>
          <w:szCs w:val="24"/>
          <w:lang w:val="es-SV"/>
        </w:rPr>
        <w:t xml:space="preserve">2018 y 2019, la provincia de San José, resulta ser la zona en la que la población femenina presenta el mayor porcentaje de índice de violencia </w:t>
      </w:r>
      <w:r>
        <w:rPr>
          <w:rFonts w:ascii="Times New Roman" w:eastAsia="Calibri" w:hAnsi="Times New Roman" w:cs="Times New Roman"/>
          <w:bCs/>
          <w:sz w:val="24"/>
          <w:szCs w:val="24"/>
          <w:lang w:val="es-SV"/>
        </w:rPr>
        <w:lastRenderedPageBreak/>
        <w:t>doméstica a nivel país, con un índice de casos de 17491 casos, lo cual resulta en una constante en el tiempo.</w:t>
      </w:r>
      <w:bookmarkStart w:id="70" w:name="_Toc62481521"/>
    </w:p>
    <w:p w14:paraId="550627F1" w14:textId="402B2DE8" w:rsidR="00CE1426" w:rsidRPr="00CE1426" w:rsidRDefault="00F248C5" w:rsidP="00333D21">
      <w:pPr>
        <w:pStyle w:val="Standard"/>
        <w:spacing w:after="200" w:line="360" w:lineRule="auto"/>
        <w:jc w:val="both"/>
        <w:rPr>
          <w:rFonts w:ascii="Times New Roman" w:hAnsi="Times New Roman" w:cs="Times New Roman"/>
          <w:b/>
          <w:bCs/>
          <w:i/>
          <w:iCs/>
          <w:color w:val="000000" w:themeColor="text1"/>
          <w:sz w:val="24"/>
          <w:szCs w:val="24"/>
        </w:rPr>
      </w:pPr>
      <w:r w:rsidRPr="00CE1426">
        <w:rPr>
          <w:rFonts w:ascii="Times New Roman" w:hAnsi="Times New Roman" w:cs="Times New Roman"/>
          <w:b/>
          <w:bCs/>
          <w:i/>
          <w:iCs/>
          <w:color w:val="000000" w:themeColor="text1"/>
          <w:sz w:val="24"/>
          <w:szCs w:val="24"/>
        </w:rPr>
        <w:t xml:space="preserve">Gráfico </w:t>
      </w:r>
      <w:r w:rsidRPr="00CE1426">
        <w:rPr>
          <w:rFonts w:ascii="Times New Roman" w:hAnsi="Times New Roman" w:cs="Times New Roman"/>
          <w:b/>
          <w:bCs/>
          <w:i/>
          <w:iCs/>
          <w:color w:val="000000" w:themeColor="text1"/>
          <w:sz w:val="24"/>
          <w:szCs w:val="24"/>
        </w:rPr>
        <w:fldChar w:fldCharType="begin"/>
      </w:r>
      <w:r w:rsidRPr="00CE1426">
        <w:rPr>
          <w:rFonts w:ascii="Times New Roman" w:hAnsi="Times New Roman" w:cs="Times New Roman"/>
          <w:b/>
          <w:bCs/>
          <w:i/>
          <w:iCs/>
          <w:color w:val="000000" w:themeColor="text1"/>
          <w:sz w:val="24"/>
          <w:szCs w:val="24"/>
        </w:rPr>
        <w:instrText xml:space="preserve"> SEQ Gráfico \* ARABIC </w:instrText>
      </w:r>
      <w:r w:rsidRPr="00CE1426">
        <w:rPr>
          <w:rFonts w:ascii="Times New Roman" w:hAnsi="Times New Roman" w:cs="Times New Roman"/>
          <w:b/>
          <w:bCs/>
          <w:i/>
          <w:iCs/>
          <w:color w:val="000000" w:themeColor="text1"/>
          <w:sz w:val="24"/>
          <w:szCs w:val="24"/>
        </w:rPr>
        <w:fldChar w:fldCharType="separate"/>
      </w:r>
      <w:r w:rsidR="00921D8A">
        <w:rPr>
          <w:rFonts w:ascii="Times New Roman" w:hAnsi="Times New Roman" w:cs="Times New Roman"/>
          <w:b/>
          <w:bCs/>
          <w:i/>
          <w:iCs/>
          <w:noProof/>
          <w:color w:val="000000" w:themeColor="text1"/>
          <w:sz w:val="24"/>
          <w:szCs w:val="24"/>
        </w:rPr>
        <w:t>1</w:t>
      </w:r>
      <w:r w:rsidRPr="00CE1426">
        <w:rPr>
          <w:rFonts w:ascii="Times New Roman" w:hAnsi="Times New Roman" w:cs="Times New Roman"/>
          <w:b/>
          <w:bCs/>
          <w:i/>
          <w:iCs/>
          <w:color w:val="000000" w:themeColor="text1"/>
          <w:sz w:val="24"/>
          <w:szCs w:val="24"/>
        </w:rPr>
        <w:fldChar w:fldCharType="end"/>
      </w:r>
      <w:r w:rsidRPr="00CE1426">
        <w:rPr>
          <w:rFonts w:ascii="Times New Roman" w:hAnsi="Times New Roman" w:cs="Times New Roman"/>
          <w:b/>
          <w:bCs/>
          <w:i/>
          <w:iCs/>
          <w:color w:val="000000" w:themeColor="text1"/>
          <w:sz w:val="24"/>
          <w:szCs w:val="24"/>
        </w:rPr>
        <w:t>.</w:t>
      </w:r>
    </w:p>
    <w:p w14:paraId="136E3994" w14:textId="170DD273" w:rsidR="005C1F8B" w:rsidRPr="00254F43" w:rsidRDefault="00F248C5" w:rsidP="005C1F8B">
      <w:pPr>
        <w:pStyle w:val="Descripcin"/>
        <w:spacing w:after="0" w:line="360" w:lineRule="auto"/>
        <w:jc w:val="both"/>
        <w:rPr>
          <w:rFonts w:ascii="Times New Roman" w:hAnsi="Times New Roman" w:cs="Times New Roman"/>
          <w:b/>
          <w:bCs/>
          <w:color w:val="000000" w:themeColor="text1"/>
          <w:sz w:val="24"/>
          <w:szCs w:val="24"/>
        </w:rPr>
      </w:pPr>
      <w:r w:rsidRPr="00254F43">
        <w:rPr>
          <w:rFonts w:ascii="Times New Roman" w:hAnsi="Times New Roman" w:cs="Times New Roman"/>
          <w:b/>
          <w:bCs/>
          <w:color w:val="000000" w:themeColor="text1"/>
          <w:sz w:val="24"/>
          <w:szCs w:val="24"/>
        </w:rPr>
        <w:t xml:space="preserve">Cantidad de </w:t>
      </w:r>
      <w:r w:rsidR="00CE1426">
        <w:rPr>
          <w:rFonts w:ascii="Times New Roman" w:hAnsi="Times New Roman" w:cs="Times New Roman"/>
          <w:b/>
          <w:bCs/>
          <w:color w:val="000000" w:themeColor="text1"/>
          <w:sz w:val="24"/>
          <w:szCs w:val="24"/>
        </w:rPr>
        <w:t>M</w:t>
      </w:r>
      <w:r w:rsidRPr="00254F43">
        <w:rPr>
          <w:rFonts w:ascii="Times New Roman" w:hAnsi="Times New Roman" w:cs="Times New Roman"/>
          <w:b/>
          <w:bCs/>
          <w:color w:val="000000" w:themeColor="text1"/>
          <w:sz w:val="24"/>
          <w:szCs w:val="24"/>
        </w:rPr>
        <w:t xml:space="preserve">edidas de </w:t>
      </w:r>
      <w:r w:rsidR="00CE1426">
        <w:rPr>
          <w:rFonts w:ascii="Times New Roman" w:hAnsi="Times New Roman" w:cs="Times New Roman"/>
          <w:b/>
          <w:bCs/>
          <w:color w:val="000000" w:themeColor="text1"/>
          <w:sz w:val="24"/>
          <w:szCs w:val="24"/>
        </w:rPr>
        <w:t>P</w:t>
      </w:r>
      <w:r w:rsidRPr="00254F43">
        <w:rPr>
          <w:rFonts w:ascii="Times New Roman" w:hAnsi="Times New Roman" w:cs="Times New Roman"/>
          <w:b/>
          <w:bCs/>
          <w:color w:val="000000" w:themeColor="text1"/>
          <w:sz w:val="24"/>
          <w:szCs w:val="24"/>
        </w:rPr>
        <w:t xml:space="preserve">rotección </w:t>
      </w:r>
      <w:r w:rsidR="00CE1426">
        <w:rPr>
          <w:rFonts w:ascii="Times New Roman" w:hAnsi="Times New Roman" w:cs="Times New Roman"/>
          <w:b/>
          <w:bCs/>
          <w:color w:val="000000" w:themeColor="text1"/>
          <w:sz w:val="24"/>
          <w:szCs w:val="24"/>
        </w:rPr>
        <w:t>E</w:t>
      </w:r>
      <w:r w:rsidRPr="00254F43">
        <w:rPr>
          <w:rFonts w:ascii="Times New Roman" w:hAnsi="Times New Roman" w:cs="Times New Roman"/>
          <w:b/>
          <w:bCs/>
          <w:color w:val="000000" w:themeColor="text1"/>
          <w:sz w:val="24"/>
          <w:szCs w:val="24"/>
        </w:rPr>
        <w:t xml:space="preserve">mitidas </w:t>
      </w:r>
      <w:r w:rsidR="00CE1426">
        <w:rPr>
          <w:rFonts w:ascii="Times New Roman" w:hAnsi="Times New Roman" w:cs="Times New Roman"/>
          <w:b/>
          <w:bCs/>
          <w:color w:val="000000" w:themeColor="text1"/>
          <w:sz w:val="24"/>
          <w:szCs w:val="24"/>
        </w:rPr>
        <w:t>S</w:t>
      </w:r>
      <w:r w:rsidRPr="00254F43">
        <w:rPr>
          <w:rFonts w:ascii="Times New Roman" w:hAnsi="Times New Roman" w:cs="Times New Roman"/>
          <w:b/>
          <w:bCs/>
          <w:color w:val="000000" w:themeColor="text1"/>
          <w:sz w:val="24"/>
          <w:szCs w:val="24"/>
        </w:rPr>
        <w:t xml:space="preserve">egún </w:t>
      </w:r>
      <w:r w:rsidR="00CE1426">
        <w:rPr>
          <w:rFonts w:ascii="Times New Roman" w:hAnsi="Times New Roman" w:cs="Times New Roman"/>
          <w:b/>
          <w:bCs/>
          <w:color w:val="000000" w:themeColor="text1"/>
          <w:sz w:val="24"/>
          <w:szCs w:val="24"/>
        </w:rPr>
        <w:t>S</w:t>
      </w:r>
      <w:r w:rsidRPr="00254F43">
        <w:rPr>
          <w:rFonts w:ascii="Times New Roman" w:hAnsi="Times New Roman" w:cs="Times New Roman"/>
          <w:b/>
          <w:bCs/>
          <w:color w:val="000000" w:themeColor="text1"/>
          <w:sz w:val="24"/>
          <w:szCs w:val="24"/>
        </w:rPr>
        <w:t xml:space="preserve">exo de la </w:t>
      </w:r>
      <w:r w:rsidR="00CE1426">
        <w:rPr>
          <w:rFonts w:ascii="Times New Roman" w:hAnsi="Times New Roman" w:cs="Times New Roman"/>
          <w:b/>
          <w:bCs/>
          <w:color w:val="000000" w:themeColor="text1"/>
          <w:sz w:val="24"/>
          <w:szCs w:val="24"/>
        </w:rPr>
        <w:t>V</w:t>
      </w:r>
      <w:r w:rsidRPr="00254F43">
        <w:rPr>
          <w:rFonts w:ascii="Times New Roman" w:hAnsi="Times New Roman" w:cs="Times New Roman"/>
          <w:b/>
          <w:bCs/>
          <w:color w:val="000000" w:themeColor="text1"/>
          <w:sz w:val="24"/>
          <w:szCs w:val="24"/>
        </w:rPr>
        <w:t xml:space="preserve">íctima de </w:t>
      </w:r>
      <w:r w:rsidR="005C1F8B" w:rsidRPr="00254F43">
        <w:rPr>
          <w:b/>
          <w:bCs/>
          <w:noProof/>
          <w:lang w:eastAsia="es-CR"/>
        </w:rPr>
        <w:drawing>
          <wp:anchor distT="0" distB="0" distL="114300" distR="114300" simplePos="0" relativeHeight="251665408" behindDoc="0" locked="0" layoutInCell="1" allowOverlap="1" wp14:anchorId="70F19143" wp14:editId="20BEE7A3">
            <wp:simplePos x="0" y="0"/>
            <wp:positionH relativeFrom="column">
              <wp:posOffset>0</wp:posOffset>
            </wp:positionH>
            <wp:positionV relativeFrom="paragraph">
              <wp:posOffset>575137</wp:posOffset>
            </wp:positionV>
            <wp:extent cx="5361940" cy="3171825"/>
            <wp:effectExtent l="0" t="0" r="0" b="3175"/>
            <wp:wrapSquare wrapText="bothSides"/>
            <wp:docPr id="14" name="gráficos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a:alphaModFix/>
                      <a:extLst>
                        <a:ext uri="{28A0092B-C50C-407E-A947-70E740481C1C}">
                          <a14:useLocalDpi xmlns:a14="http://schemas.microsoft.com/office/drawing/2010/main" val="0"/>
                        </a:ext>
                      </a:extLst>
                    </a:blip>
                    <a:srcRect/>
                    <a:stretch>
                      <a:fillRect/>
                    </a:stretch>
                  </pic:blipFill>
                  <pic:spPr>
                    <a:xfrm>
                      <a:off x="0" y="0"/>
                      <a:ext cx="5361940" cy="3171825"/>
                    </a:xfrm>
                    <a:prstGeom prst="rect">
                      <a:avLst/>
                    </a:prstGeom>
                    <a:ln>
                      <a:noFill/>
                      <a:prstDash/>
                    </a:ln>
                  </pic:spPr>
                </pic:pic>
              </a:graphicData>
            </a:graphic>
            <wp14:sizeRelH relativeFrom="page">
              <wp14:pctWidth>0</wp14:pctWidth>
            </wp14:sizeRelH>
            <wp14:sizeRelV relativeFrom="page">
              <wp14:pctHeight>0</wp14:pctHeight>
            </wp14:sizeRelV>
          </wp:anchor>
        </w:drawing>
      </w:r>
      <w:r w:rsidR="00CE1426">
        <w:rPr>
          <w:rFonts w:ascii="Times New Roman" w:hAnsi="Times New Roman" w:cs="Times New Roman"/>
          <w:b/>
          <w:bCs/>
          <w:color w:val="000000" w:themeColor="text1"/>
          <w:sz w:val="24"/>
          <w:szCs w:val="24"/>
        </w:rPr>
        <w:t>V</w:t>
      </w:r>
      <w:r w:rsidRPr="00254F43">
        <w:rPr>
          <w:rFonts w:ascii="Times New Roman" w:hAnsi="Times New Roman" w:cs="Times New Roman"/>
          <w:b/>
          <w:bCs/>
          <w:color w:val="000000" w:themeColor="text1"/>
          <w:sz w:val="24"/>
          <w:szCs w:val="24"/>
        </w:rPr>
        <w:t xml:space="preserve">iolencia </w:t>
      </w:r>
      <w:r w:rsidR="00CE1426">
        <w:rPr>
          <w:rFonts w:ascii="Times New Roman" w:hAnsi="Times New Roman" w:cs="Times New Roman"/>
          <w:b/>
          <w:bCs/>
          <w:color w:val="000000" w:themeColor="text1"/>
          <w:sz w:val="24"/>
          <w:szCs w:val="24"/>
        </w:rPr>
        <w:t>D</w:t>
      </w:r>
      <w:r w:rsidRPr="00254F43">
        <w:rPr>
          <w:rFonts w:ascii="Times New Roman" w:hAnsi="Times New Roman" w:cs="Times New Roman"/>
          <w:b/>
          <w:bCs/>
          <w:color w:val="000000" w:themeColor="text1"/>
          <w:sz w:val="24"/>
          <w:szCs w:val="24"/>
        </w:rPr>
        <w:t xml:space="preserve">oméstica por </w:t>
      </w:r>
      <w:r w:rsidR="00CE1426">
        <w:rPr>
          <w:rFonts w:ascii="Times New Roman" w:hAnsi="Times New Roman" w:cs="Times New Roman"/>
          <w:b/>
          <w:bCs/>
          <w:color w:val="000000" w:themeColor="text1"/>
          <w:sz w:val="24"/>
          <w:szCs w:val="24"/>
        </w:rPr>
        <w:t>P</w:t>
      </w:r>
      <w:r w:rsidRPr="00254F43">
        <w:rPr>
          <w:rFonts w:ascii="Times New Roman" w:hAnsi="Times New Roman" w:cs="Times New Roman"/>
          <w:b/>
          <w:bCs/>
          <w:color w:val="000000" w:themeColor="text1"/>
          <w:sz w:val="24"/>
          <w:szCs w:val="24"/>
        </w:rPr>
        <w:t>rovincia</w:t>
      </w:r>
      <w:bookmarkEnd w:id="70"/>
    </w:p>
    <w:p w14:paraId="7677D1E3" w14:textId="7FB12DFE" w:rsidR="00E10342" w:rsidRDefault="001768B3" w:rsidP="005C1F8B">
      <w:pPr>
        <w:pStyle w:val="Standard"/>
        <w:spacing w:after="0" w:line="360" w:lineRule="auto"/>
        <w:jc w:val="both"/>
      </w:pPr>
      <w:r>
        <w:rPr>
          <w:rFonts w:ascii="Times New Roman" w:eastAsia="Calibri" w:hAnsi="Times New Roman" w:cs="Times New Roman"/>
          <w:bCs/>
          <w:color w:val="000000"/>
          <w:sz w:val="13"/>
          <w:szCs w:val="13"/>
          <w:lang w:val="es-SV"/>
        </w:rPr>
        <w:t xml:space="preserve"> </w:t>
      </w:r>
      <w:r w:rsidR="005C1F8B" w:rsidRPr="00833C35">
        <w:rPr>
          <w:rFonts w:ascii="Times New Roman" w:eastAsia="Calibri" w:hAnsi="Times New Roman" w:cs="Times New Roman"/>
          <w:bCs/>
          <w:color w:val="000000"/>
          <w:sz w:val="13"/>
          <w:szCs w:val="13"/>
          <w:lang w:val="es-SV"/>
        </w:rPr>
        <w:t xml:space="preserve"> </w:t>
      </w:r>
      <w:r w:rsidR="00D31DDB" w:rsidRPr="00833C35">
        <w:rPr>
          <w:rFonts w:ascii="Times New Roman" w:eastAsia="Calibri" w:hAnsi="Times New Roman" w:cs="Times New Roman"/>
          <w:bCs/>
          <w:color w:val="000000"/>
          <w:sz w:val="24"/>
          <w:szCs w:val="24"/>
          <w:lang w:val="es-SV"/>
        </w:rPr>
        <w:t>Fuente: Poder Judicial (2019)</w:t>
      </w:r>
    </w:p>
    <w:p w14:paraId="6DBBE693" w14:textId="29F8137A" w:rsidR="00E10342" w:rsidRDefault="00D31DDB" w:rsidP="0047152B">
      <w:pPr>
        <w:pStyle w:val="Standard"/>
        <w:spacing w:after="0" w:line="360" w:lineRule="auto"/>
        <w:ind w:firstLine="709"/>
        <w:jc w:val="both"/>
      </w:pPr>
      <w:r>
        <w:rPr>
          <w:rFonts w:ascii="Times New Roman" w:eastAsia="Calibri" w:hAnsi="Times New Roman" w:cs="Times New Roman"/>
          <w:bCs/>
          <w:color w:val="000000"/>
          <w:sz w:val="24"/>
          <w:szCs w:val="24"/>
        </w:rPr>
        <w:t xml:space="preserve">El gráfico anterior representa que es en la provincia de San José en donde se emite mayor cantidad medidas de </w:t>
      </w:r>
      <w:r w:rsidR="00D75232">
        <w:rPr>
          <w:rFonts w:ascii="Times New Roman" w:eastAsia="Calibri" w:hAnsi="Times New Roman" w:cs="Times New Roman"/>
          <w:bCs/>
          <w:color w:val="000000"/>
          <w:sz w:val="24"/>
          <w:szCs w:val="24"/>
        </w:rPr>
        <w:t>protección</w:t>
      </w:r>
      <w:r>
        <w:rPr>
          <w:rFonts w:ascii="Times New Roman" w:eastAsia="Calibri" w:hAnsi="Times New Roman" w:cs="Times New Roman"/>
          <w:bCs/>
          <w:color w:val="000000"/>
          <w:sz w:val="24"/>
          <w:szCs w:val="24"/>
        </w:rPr>
        <w:t xml:space="preserve"> por violencia doméstica en favor las víctimas, lo que representa un 26% de la totalidad de casos, seguida por la provincia de Alajuela, lo que evidencia un número acelerado en ese otorgamiento a las mujeres, frente al resto de la población solicitante</w:t>
      </w:r>
      <w:r w:rsidRPr="005C1F8B">
        <w:rPr>
          <w:rFonts w:ascii="Times New Roman" w:eastAsia="Calibri" w:hAnsi="Times New Roman" w:cs="Times New Roman"/>
          <w:bCs/>
          <w:color w:val="000000" w:themeColor="text1"/>
          <w:sz w:val="24"/>
          <w:szCs w:val="24"/>
        </w:rPr>
        <w:t>.</w:t>
      </w:r>
    </w:p>
    <w:p w14:paraId="490CF949" w14:textId="11C43ACB" w:rsidR="005C1F8B" w:rsidRPr="005C1F8B" w:rsidRDefault="00D31DDB" w:rsidP="005C1F8B">
      <w:pPr>
        <w:pStyle w:val="Standard"/>
        <w:spacing w:after="0" w:line="360" w:lineRule="auto"/>
        <w:ind w:firstLine="709"/>
        <w:jc w:val="both"/>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sz w:val="24"/>
          <w:szCs w:val="24"/>
        </w:rPr>
        <w:t xml:space="preserve">La violencia en contra de la mujer asciende a un 26 % de la población nacional costarricense, tal y como a continuación se </w:t>
      </w:r>
      <w:r w:rsidR="00D75232">
        <w:rPr>
          <w:rFonts w:ascii="Times New Roman" w:eastAsia="Calibri" w:hAnsi="Times New Roman" w:cs="Times New Roman"/>
          <w:bCs/>
          <w:color w:val="000000"/>
          <w:sz w:val="24"/>
          <w:szCs w:val="24"/>
        </w:rPr>
        <w:t>demuestra</w:t>
      </w:r>
      <w:r>
        <w:rPr>
          <w:rFonts w:ascii="Times New Roman" w:eastAsia="Calibri" w:hAnsi="Times New Roman" w:cs="Times New Roman"/>
          <w:bCs/>
          <w:color w:val="000000"/>
          <w:sz w:val="24"/>
          <w:szCs w:val="24"/>
        </w:rPr>
        <w:t xml:space="preserve"> en el siguiente gráfico</w:t>
      </w:r>
      <w:r w:rsidRPr="005C1F8B">
        <w:rPr>
          <w:rFonts w:ascii="Times New Roman" w:eastAsia="Calibri" w:hAnsi="Times New Roman" w:cs="Times New Roman"/>
          <w:bCs/>
          <w:color w:val="000000" w:themeColor="text1"/>
          <w:sz w:val="24"/>
          <w:szCs w:val="24"/>
        </w:rPr>
        <w:t>:</w:t>
      </w:r>
    </w:p>
    <w:p w14:paraId="7D9FCAD1" w14:textId="77777777" w:rsidR="00254F43" w:rsidRDefault="00254F43" w:rsidP="0047152B">
      <w:pPr>
        <w:pStyle w:val="Standard"/>
        <w:spacing w:after="0" w:line="360" w:lineRule="auto"/>
        <w:ind w:firstLine="709"/>
        <w:jc w:val="both"/>
        <w:rPr>
          <w:rFonts w:ascii="Times New Roman" w:eastAsia="Calibri" w:hAnsi="Times New Roman" w:cs="Times New Roman"/>
          <w:bCs/>
          <w:color w:val="FF0000"/>
          <w:sz w:val="24"/>
          <w:szCs w:val="24"/>
        </w:rPr>
        <w:sectPr w:rsidR="00254F43" w:rsidSect="002C0E44">
          <w:headerReference w:type="default" r:id="rId15"/>
          <w:pgSz w:w="12240" w:h="15840"/>
          <w:pgMar w:top="1418" w:right="1418" w:bottom="1418" w:left="1418" w:header="709" w:footer="709" w:gutter="680"/>
          <w:pgNumType w:start="1"/>
          <w:cols w:space="720"/>
        </w:sectPr>
      </w:pPr>
    </w:p>
    <w:p w14:paraId="620C6784" w14:textId="281AD020" w:rsidR="00CE1426" w:rsidRPr="00CE1426" w:rsidRDefault="00254F43" w:rsidP="00254F43">
      <w:pPr>
        <w:pStyle w:val="Descripcin"/>
        <w:spacing w:after="0" w:line="360" w:lineRule="auto"/>
        <w:jc w:val="both"/>
        <w:rPr>
          <w:rFonts w:ascii="Times New Roman" w:hAnsi="Times New Roman" w:cs="Times New Roman"/>
          <w:b/>
          <w:bCs/>
          <w:i w:val="0"/>
          <w:iCs w:val="0"/>
          <w:color w:val="000000" w:themeColor="text1"/>
          <w:sz w:val="24"/>
          <w:szCs w:val="24"/>
        </w:rPr>
      </w:pPr>
      <w:bookmarkStart w:id="71" w:name="_Toc62481522"/>
      <w:r w:rsidRPr="00CE1426">
        <w:rPr>
          <w:rFonts w:ascii="Times New Roman" w:hAnsi="Times New Roman" w:cs="Times New Roman"/>
          <w:b/>
          <w:bCs/>
          <w:i w:val="0"/>
          <w:iCs w:val="0"/>
          <w:color w:val="000000" w:themeColor="text1"/>
          <w:sz w:val="24"/>
          <w:szCs w:val="24"/>
        </w:rPr>
        <w:lastRenderedPageBreak/>
        <w:t xml:space="preserve">Gráfico </w:t>
      </w:r>
      <w:r w:rsidRPr="00CE1426">
        <w:rPr>
          <w:rFonts w:ascii="Times New Roman" w:hAnsi="Times New Roman" w:cs="Times New Roman"/>
          <w:b/>
          <w:bCs/>
          <w:i w:val="0"/>
          <w:iCs w:val="0"/>
          <w:color w:val="000000" w:themeColor="text1"/>
          <w:sz w:val="24"/>
          <w:szCs w:val="24"/>
        </w:rPr>
        <w:fldChar w:fldCharType="begin"/>
      </w:r>
      <w:r w:rsidRPr="00CE1426">
        <w:rPr>
          <w:rFonts w:ascii="Times New Roman" w:hAnsi="Times New Roman" w:cs="Times New Roman"/>
          <w:b/>
          <w:bCs/>
          <w:i w:val="0"/>
          <w:iCs w:val="0"/>
          <w:color w:val="000000" w:themeColor="text1"/>
          <w:sz w:val="24"/>
          <w:szCs w:val="24"/>
        </w:rPr>
        <w:instrText xml:space="preserve"> SEQ Gráfico \* ARABIC </w:instrText>
      </w:r>
      <w:r w:rsidRPr="00CE1426">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2</w:t>
      </w:r>
      <w:r w:rsidRPr="00CE1426">
        <w:rPr>
          <w:rFonts w:ascii="Times New Roman" w:hAnsi="Times New Roman" w:cs="Times New Roman"/>
          <w:b/>
          <w:bCs/>
          <w:i w:val="0"/>
          <w:iCs w:val="0"/>
          <w:color w:val="000000" w:themeColor="text1"/>
          <w:sz w:val="24"/>
          <w:szCs w:val="24"/>
        </w:rPr>
        <w:fldChar w:fldCharType="end"/>
      </w:r>
      <w:r w:rsidRPr="00CE1426">
        <w:rPr>
          <w:rFonts w:ascii="Times New Roman" w:hAnsi="Times New Roman" w:cs="Times New Roman"/>
          <w:b/>
          <w:bCs/>
          <w:i w:val="0"/>
          <w:iCs w:val="0"/>
          <w:color w:val="000000" w:themeColor="text1"/>
          <w:sz w:val="24"/>
          <w:szCs w:val="24"/>
        </w:rPr>
        <w:t xml:space="preserve">. </w:t>
      </w:r>
    </w:p>
    <w:p w14:paraId="24B33344" w14:textId="1A81013B" w:rsidR="00E10342" w:rsidRPr="00CE1426" w:rsidRDefault="00254F43" w:rsidP="00254F43">
      <w:pPr>
        <w:pStyle w:val="Descripcin"/>
        <w:spacing w:after="0" w:line="360" w:lineRule="auto"/>
        <w:jc w:val="both"/>
        <w:rPr>
          <w:rFonts w:ascii="Times New Roman" w:hAnsi="Times New Roman" w:cs="Times New Roman"/>
          <w:b/>
          <w:bCs/>
          <w:color w:val="000000" w:themeColor="text1"/>
          <w:sz w:val="24"/>
          <w:szCs w:val="24"/>
        </w:rPr>
      </w:pPr>
      <w:r w:rsidRPr="00254F43">
        <w:rPr>
          <w:rFonts w:ascii="Times New Roman" w:hAnsi="Times New Roman" w:cs="Times New Roman"/>
          <w:b/>
          <w:bCs/>
          <w:color w:val="000000" w:themeColor="text1"/>
          <w:sz w:val="24"/>
          <w:szCs w:val="24"/>
        </w:rPr>
        <w:t xml:space="preserve">Cantidad de </w:t>
      </w:r>
      <w:r w:rsidR="00CE1426">
        <w:rPr>
          <w:rFonts w:ascii="Times New Roman" w:hAnsi="Times New Roman" w:cs="Times New Roman"/>
          <w:b/>
          <w:bCs/>
          <w:color w:val="000000" w:themeColor="text1"/>
          <w:sz w:val="24"/>
          <w:szCs w:val="24"/>
        </w:rPr>
        <w:t>P</w:t>
      </w:r>
      <w:r w:rsidRPr="00254F43">
        <w:rPr>
          <w:rFonts w:ascii="Times New Roman" w:hAnsi="Times New Roman" w:cs="Times New Roman"/>
          <w:b/>
          <w:bCs/>
          <w:color w:val="000000" w:themeColor="text1"/>
          <w:sz w:val="24"/>
          <w:szCs w:val="24"/>
        </w:rPr>
        <w:t xml:space="preserve">ersonas </w:t>
      </w:r>
      <w:r w:rsidR="00CE1426">
        <w:rPr>
          <w:rFonts w:ascii="Times New Roman" w:hAnsi="Times New Roman" w:cs="Times New Roman"/>
          <w:b/>
          <w:bCs/>
          <w:color w:val="000000" w:themeColor="text1"/>
          <w:sz w:val="24"/>
          <w:szCs w:val="24"/>
        </w:rPr>
        <w:t>P</w:t>
      </w:r>
      <w:r w:rsidRPr="00254F43">
        <w:rPr>
          <w:rFonts w:ascii="Times New Roman" w:hAnsi="Times New Roman" w:cs="Times New Roman"/>
          <w:b/>
          <w:bCs/>
          <w:color w:val="000000" w:themeColor="text1"/>
          <w:sz w:val="24"/>
          <w:szCs w:val="24"/>
        </w:rPr>
        <w:t xml:space="preserve">resuntas </w:t>
      </w:r>
      <w:r w:rsidR="00CE1426">
        <w:rPr>
          <w:rFonts w:ascii="Times New Roman" w:hAnsi="Times New Roman" w:cs="Times New Roman"/>
          <w:b/>
          <w:bCs/>
          <w:color w:val="000000" w:themeColor="text1"/>
          <w:sz w:val="24"/>
          <w:szCs w:val="24"/>
        </w:rPr>
        <w:t>V</w:t>
      </w:r>
      <w:r w:rsidRPr="00254F43">
        <w:rPr>
          <w:rFonts w:ascii="Times New Roman" w:hAnsi="Times New Roman" w:cs="Times New Roman"/>
          <w:b/>
          <w:bCs/>
          <w:color w:val="000000" w:themeColor="text1"/>
          <w:sz w:val="24"/>
          <w:szCs w:val="24"/>
        </w:rPr>
        <w:t xml:space="preserve">íctimas por </w:t>
      </w:r>
      <w:r w:rsidR="00CE1426">
        <w:rPr>
          <w:rFonts w:ascii="Times New Roman" w:hAnsi="Times New Roman" w:cs="Times New Roman"/>
          <w:b/>
          <w:bCs/>
          <w:color w:val="000000" w:themeColor="text1"/>
          <w:sz w:val="24"/>
          <w:szCs w:val="24"/>
        </w:rPr>
        <w:t>S</w:t>
      </w:r>
      <w:r w:rsidRPr="00254F43">
        <w:rPr>
          <w:rFonts w:ascii="Times New Roman" w:hAnsi="Times New Roman" w:cs="Times New Roman"/>
          <w:b/>
          <w:bCs/>
          <w:color w:val="000000" w:themeColor="text1"/>
          <w:sz w:val="24"/>
          <w:szCs w:val="24"/>
        </w:rPr>
        <w:t xml:space="preserve">exo </w:t>
      </w:r>
      <w:r w:rsidR="00CE1426">
        <w:rPr>
          <w:rFonts w:ascii="Times New Roman" w:hAnsi="Times New Roman" w:cs="Times New Roman"/>
          <w:b/>
          <w:bCs/>
          <w:color w:val="000000" w:themeColor="text1"/>
          <w:sz w:val="24"/>
          <w:szCs w:val="24"/>
        </w:rPr>
        <w:t>S</w:t>
      </w:r>
      <w:r w:rsidRPr="00254F43">
        <w:rPr>
          <w:rFonts w:ascii="Times New Roman" w:hAnsi="Times New Roman" w:cs="Times New Roman"/>
          <w:b/>
          <w:bCs/>
          <w:color w:val="000000" w:themeColor="text1"/>
          <w:sz w:val="24"/>
          <w:szCs w:val="24"/>
        </w:rPr>
        <w:t xml:space="preserve">egún </w:t>
      </w:r>
      <w:r w:rsidR="00CE1426">
        <w:rPr>
          <w:rFonts w:ascii="Times New Roman" w:hAnsi="Times New Roman" w:cs="Times New Roman"/>
          <w:b/>
          <w:bCs/>
          <w:color w:val="000000" w:themeColor="text1"/>
          <w:sz w:val="24"/>
          <w:szCs w:val="24"/>
        </w:rPr>
        <w:t>R</w:t>
      </w:r>
      <w:r w:rsidRPr="00254F43">
        <w:rPr>
          <w:rFonts w:ascii="Times New Roman" w:hAnsi="Times New Roman" w:cs="Times New Roman"/>
          <w:b/>
          <w:bCs/>
          <w:color w:val="000000" w:themeColor="text1"/>
          <w:sz w:val="24"/>
          <w:szCs w:val="24"/>
        </w:rPr>
        <w:t xml:space="preserve">ango de </w:t>
      </w:r>
      <w:r w:rsidR="00CE1426">
        <w:rPr>
          <w:rFonts w:ascii="Times New Roman" w:hAnsi="Times New Roman" w:cs="Times New Roman"/>
          <w:b/>
          <w:bCs/>
          <w:color w:val="000000" w:themeColor="text1"/>
          <w:sz w:val="24"/>
          <w:szCs w:val="24"/>
        </w:rPr>
        <w:t>E</w:t>
      </w:r>
      <w:r w:rsidRPr="00254F43">
        <w:rPr>
          <w:rFonts w:ascii="Times New Roman" w:hAnsi="Times New Roman" w:cs="Times New Roman"/>
          <w:b/>
          <w:bCs/>
          <w:color w:val="000000" w:themeColor="text1"/>
          <w:sz w:val="24"/>
          <w:szCs w:val="24"/>
        </w:rPr>
        <w:t xml:space="preserve">dad en </w:t>
      </w:r>
      <w:r w:rsidR="00CE1426">
        <w:rPr>
          <w:rFonts w:ascii="Times New Roman" w:hAnsi="Times New Roman" w:cs="Times New Roman"/>
          <w:b/>
          <w:bCs/>
          <w:color w:val="000000" w:themeColor="text1"/>
          <w:sz w:val="24"/>
          <w:szCs w:val="24"/>
        </w:rPr>
        <w:t>M</w:t>
      </w:r>
      <w:r w:rsidRPr="00254F43">
        <w:rPr>
          <w:rFonts w:ascii="Times New Roman" w:hAnsi="Times New Roman" w:cs="Times New Roman"/>
          <w:b/>
          <w:bCs/>
          <w:color w:val="000000" w:themeColor="text1"/>
          <w:sz w:val="24"/>
          <w:szCs w:val="24"/>
        </w:rPr>
        <w:t xml:space="preserve">ateria de </w:t>
      </w:r>
      <w:r w:rsidR="00CE1426">
        <w:rPr>
          <w:rFonts w:ascii="Times New Roman" w:hAnsi="Times New Roman" w:cs="Times New Roman"/>
          <w:b/>
          <w:bCs/>
          <w:color w:val="000000" w:themeColor="text1"/>
          <w:sz w:val="24"/>
          <w:szCs w:val="24"/>
        </w:rPr>
        <w:t>V</w:t>
      </w:r>
      <w:r w:rsidRPr="00254F43">
        <w:rPr>
          <w:rFonts w:ascii="Times New Roman" w:hAnsi="Times New Roman" w:cs="Times New Roman"/>
          <w:b/>
          <w:bCs/>
          <w:color w:val="000000" w:themeColor="text1"/>
          <w:sz w:val="24"/>
          <w:szCs w:val="24"/>
        </w:rPr>
        <w:t xml:space="preserve">iolencia </w:t>
      </w:r>
      <w:r w:rsidR="00CE1426">
        <w:rPr>
          <w:rFonts w:ascii="Times New Roman" w:hAnsi="Times New Roman" w:cs="Times New Roman"/>
          <w:b/>
          <w:bCs/>
          <w:color w:val="000000" w:themeColor="text1"/>
          <w:sz w:val="24"/>
          <w:szCs w:val="24"/>
        </w:rPr>
        <w:t>D</w:t>
      </w:r>
      <w:r w:rsidRPr="00254F43">
        <w:rPr>
          <w:rFonts w:ascii="Times New Roman" w:hAnsi="Times New Roman" w:cs="Times New Roman"/>
          <w:b/>
          <w:bCs/>
          <w:color w:val="000000" w:themeColor="text1"/>
          <w:sz w:val="24"/>
          <w:szCs w:val="24"/>
        </w:rPr>
        <w:t>oméstica</w:t>
      </w:r>
      <w:bookmarkEnd w:id="71"/>
    </w:p>
    <w:p w14:paraId="09C277B2" w14:textId="77777777" w:rsidR="00E10342" w:rsidRDefault="00D31DDB" w:rsidP="00663A34">
      <w:pPr>
        <w:pStyle w:val="Standard"/>
        <w:spacing w:after="200" w:line="360" w:lineRule="auto"/>
        <w:jc w:val="both"/>
      </w:pPr>
      <w:r>
        <w:rPr>
          <w:noProof/>
          <w:lang w:eastAsia="es-CR"/>
        </w:rPr>
        <w:drawing>
          <wp:anchor distT="0" distB="0" distL="114300" distR="114300" simplePos="0" relativeHeight="251661312" behindDoc="0" locked="0" layoutInCell="1" allowOverlap="1" wp14:anchorId="6E5B3D61" wp14:editId="44A33A61">
            <wp:simplePos x="0" y="0"/>
            <wp:positionH relativeFrom="column">
              <wp:posOffset>635</wp:posOffset>
            </wp:positionH>
            <wp:positionV relativeFrom="paragraph">
              <wp:posOffset>3175</wp:posOffset>
            </wp:positionV>
            <wp:extent cx="5499980" cy="3071446"/>
            <wp:effectExtent l="0" t="0" r="0" b="0"/>
            <wp:wrapSquare wrapText="bothSides"/>
            <wp:docPr id="15" name="gráficos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lum/>
                      <a:alphaModFix/>
                      <a:extLst>
                        <a:ext uri="{28A0092B-C50C-407E-A947-70E740481C1C}">
                          <a14:useLocalDpi xmlns:a14="http://schemas.microsoft.com/office/drawing/2010/main" val="0"/>
                        </a:ext>
                      </a:extLst>
                    </a:blip>
                    <a:srcRect/>
                    <a:stretch>
                      <a:fillRect/>
                    </a:stretch>
                  </pic:blipFill>
                  <pic:spPr>
                    <a:xfrm>
                      <a:off x="0" y="0"/>
                      <a:ext cx="5499980" cy="3071446"/>
                    </a:xfrm>
                    <a:prstGeom prst="rect">
                      <a:avLst/>
                    </a:prstGeom>
                    <a:ln>
                      <a:noFill/>
                      <a:prstDash/>
                    </a:ln>
                  </pic:spPr>
                </pic:pic>
              </a:graphicData>
            </a:graphic>
            <wp14:sizeRelH relativeFrom="page">
              <wp14:pctWidth>0</wp14:pctWidth>
            </wp14:sizeRelH>
            <wp14:sizeRelV relativeFrom="page">
              <wp14:pctHeight>0</wp14:pctHeight>
            </wp14:sizeRelV>
          </wp:anchor>
        </w:drawing>
      </w:r>
    </w:p>
    <w:p w14:paraId="04769FCA" w14:textId="1A6DDA5D" w:rsidR="00E10342" w:rsidRDefault="00D31DDB">
      <w:pPr>
        <w:pStyle w:val="Standard"/>
        <w:spacing w:after="200" w:line="360" w:lineRule="auto"/>
        <w:jc w:val="both"/>
      </w:pPr>
      <w:r w:rsidRPr="00254F43">
        <w:rPr>
          <w:rFonts w:ascii="Times New Roman" w:eastAsia="Calibri" w:hAnsi="Times New Roman" w:cs="Times New Roman"/>
          <w:bCs/>
          <w:sz w:val="24"/>
          <w:szCs w:val="24"/>
          <w:lang w:val="es-SV"/>
        </w:rPr>
        <w:t xml:space="preserve">Fuente: </w:t>
      </w:r>
      <w:r w:rsidRPr="00254F43">
        <w:rPr>
          <w:rFonts w:ascii="Times New Roman" w:eastAsia="Calibri" w:hAnsi="Times New Roman" w:cs="Times New Roman"/>
          <w:bCs/>
          <w:sz w:val="24"/>
          <w:szCs w:val="24"/>
        </w:rPr>
        <w:t>Subproceso de Estadística, Dirección de planificación</w:t>
      </w:r>
      <w:r w:rsidR="005F159A" w:rsidRPr="00254F43">
        <w:rPr>
          <w:rFonts w:ascii="Times New Roman" w:eastAsia="Calibri" w:hAnsi="Times New Roman" w:cs="Times New Roman"/>
          <w:bCs/>
          <w:sz w:val="24"/>
          <w:szCs w:val="24"/>
        </w:rPr>
        <w:t xml:space="preserve"> </w:t>
      </w:r>
      <w:r w:rsidRPr="00254F43">
        <w:rPr>
          <w:rFonts w:ascii="Times New Roman" w:eastAsia="Calibri" w:hAnsi="Times New Roman" w:cs="Times New Roman"/>
          <w:bCs/>
          <w:sz w:val="24"/>
          <w:szCs w:val="24"/>
        </w:rPr>
        <w:t xml:space="preserve">Poder </w:t>
      </w:r>
      <w:r w:rsidR="00D75232" w:rsidRPr="00254F43">
        <w:rPr>
          <w:rFonts w:ascii="Times New Roman" w:eastAsia="Calibri" w:hAnsi="Times New Roman" w:cs="Times New Roman"/>
          <w:bCs/>
          <w:sz w:val="24"/>
          <w:szCs w:val="24"/>
        </w:rPr>
        <w:t>Judicial</w:t>
      </w:r>
      <w:r w:rsidRPr="00254F43">
        <w:rPr>
          <w:rFonts w:ascii="Times New Roman" w:eastAsia="Calibri" w:hAnsi="Times New Roman" w:cs="Times New Roman"/>
          <w:bCs/>
          <w:sz w:val="24"/>
          <w:szCs w:val="24"/>
        </w:rPr>
        <w:t xml:space="preserve"> (2019)</w:t>
      </w:r>
    </w:p>
    <w:p w14:paraId="55DCBDBB"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lang w:val="es-SV"/>
        </w:rPr>
      </w:pPr>
      <w:r>
        <w:rPr>
          <w:rFonts w:ascii="Times New Roman" w:eastAsia="Calibri" w:hAnsi="Times New Roman" w:cs="Times New Roman"/>
          <w:bCs/>
          <w:sz w:val="24"/>
          <w:szCs w:val="24"/>
          <w:lang w:val="es-SV"/>
        </w:rPr>
        <w:t xml:space="preserve">Según ambos gráficos, el grupo etario de mujeres víctimas de violencia intrafamiliar, población mucho más vulnerable, es el de aquellas que se encuentran entre los veintisiete y treinta y cinco </w:t>
      </w:r>
      <w:proofErr w:type="gramStart"/>
      <w:r>
        <w:rPr>
          <w:rFonts w:ascii="Times New Roman" w:eastAsia="Calibri" w:hAnsi="Times New Roman" w:cs="Times New Roman"/>
          <w:bCs/>
          <w:sz w:val="24"/>
          <w:szCs w:val="24"/>
          <w:lang w:val="es-SV"/>
        </w:rPr>
        <w:t>años de edad</w:t>
      </w:r>
      <w:proofErr w:type="gramEnd"/>
      <w:r>
        <w:rPr>
          <w:rFonts w:ascii="Times New Roman" w:eastAsia="Calibri" w:hAnsi="Times New Roman" w:cs="Times New Roman"/>
          <w:bCs/>
          <w:sz w:val="24"/>
          <w:szCs w:val="24"/>
          <w:lang w:val="es-SV"/>
        </w:rPr>
        <w:t>, debido a que esta representa a un 26% de la población nacional costarricense frente a la población masculina, con la misma edad, que alcanza un porcentaje de un 15%. Dichos datos dan a comprender la magnitud de la violencia en el grupo de las mujeres, siendo únicamente superada la condición masculina cuando esta alcanza la adultez mayor, a partir de los 63 años, que llega a alcanzar un 29%, lo cual significa que su mayor incidencia en cuanto a vulnerabilidad se da a esta edad y no antes.</w:t>
      </w:r>
    </w:p>
    <w:p w14:paraId="70D9CFDF" w14:textId="6C233851" w:rsidR="00E10342" w:rsidRDefault="0047152B" w:rsidP="0047152B">
      <w:pPr>
        <w:pStyle w:val="Ttulo2"/>
      </w:pPr>
      <w:bookmarkStart w:id="72" w:name="_Toc61276973"/>
      <w:bookmarkStart w:id="73" w:name="_Toc45205382"/>
      <w:bookmarkStart w:id="74" w:name="__RefHeading__27443_1894434827"/>
      <w:bookmarkStart w:id="75" w:name="_Toc62463322"/>
      <w:bookmarkStart w:id="76" w:name="_Toc62476058"/>
      <w:bookmarkStart w:id="77" w:name="_Toc62476264"/>
      <w:bookmarkStart w:id="78" w:name="_Toc63688931"/>
      <w:r>
        <w:t>1.5. Estado de la cuestión</w:t>
      </w:r>
      <w:bookmarkEnd w:id="72"/>
      <w:bookmarkEnd w:id="73"/>
      <w:bookmarkEnd w:id="74"/>
      <w:bookmarkEnd w:id="75"/>
      <w:bookmarkEnd w:id="76"/>
      <w:bookmarkEnd w:id="77"/>
      <w:bookmarkEnd w:id="78"/>
    </w:p>
    <w:p w14:paraId="6F089BF7" w14:textId="707DD7F6"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En este apartado, se realiza un análisis sobre las investigaciones efectuadas vinculadas con el tema de estudio. De ahí que se expone acerca de los planteamientos de las y los autores estudiados, así como los aportes que hacen a dicho tema, razón por la cual esta sección se encuentra </w:t>
      </w:r>
      <w:r w:rsidR="00F13332">
        <w:rPr>
          <w:rFonts w:ascii="Times New Roman" w:eastAsia="Calibri" w:hAnsi="Times New Roman" w:cs="Times New Roman"/>
          <w:bCs/>
          <w:sz w:val="24"/>
          <w:szCs w:val="24"/>
        </w:rPr>
        <w:t>organizada</w:t>
      </w:r>
      <w:r>
        <w:rPr>
          <w:rFonts w:ascii="Times New Roman" w:eastAsia="Calibri" w:hAnsi="Times New Roman" w:cs="Times New Roman"/>
          <w:bCs/>
          <w:sz w:val="24"/>
          <w:szCs w:val="24"/>
        </w:rPr>
        <w:t xml:space="preserve">, para una mejor comprensión de la información, en los </w:t>
      </w:r>
      <w:r>
        <w:rPr>
          <w:rFonts w:ascii="Times New Roman" w:eastAsia="Calibri" w:hAnsi="Times New Roman" w:cs="Times New Roman"/>
          <w:bCs/>
          <w:sz w:val="24"/>
          <w:szCs w:val="24"/>
        </w:rPr>
        <w:lastRenderedPageBreak/>
        <w:t>siguientes dos ejes temáticos: la violencia y la vulnerabilidad cognitiva en víctimas de violencia intrafamiliar.</w:t>
      </w:r>
    </w:p>
    <w:p w14:paraId="3854399C"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El primero hace alusión a que la violencia intrafamiliar perpetrada contra la mujer </w:t>
      </w:r>
      <w:proofErr w:type="gramStart"/>
      <w:r>
        <w:rPr>
          <w:rFonts w:ascii="Times New Roman" w:eastAsia="Calibri" w:hAnsi="Times New Roman" w:cs="Times New Roman"/>
          <w:bCs/>
          <w:sz w:val="24"/>
          <w:szCs w:val="24"/>
        </w:rPr>
        <w:t>adulta,</w:t>
      </w:r>
      <w:proofErr w:type="gramEnd"/>
      <w:r>
        <w:rPr>
          <w:rFonts w:ascii="Times New Roman" w:eastAsia="Calibri" w:hAnsi="Times New Roman" w:cs="Times New Roman"/>
          <w:bCs/>
          <w:sz w:val="24"/>
          <w:szCs w:val="24"/>
        </w:rPr>
        <w:t xml:space="preserve"> sea por su pareja sentimental actual o anterior, cuyas edades oscilen entre los 27 a 35 años, resulta ser un problema social de grandes repercusiones, debido a que abarca la violación a derechos humanos de las mujeres, así como de salud pública físico-mental, económicos, políticos, psicológicos y dentro de la dinámica familiar. De ahí la importancia de explorar desde lo conceptual el tema de la violencia intrafamiliar y el conocer sobre los rasgos más característicos de este fenómeno.</w:t>
      </w:r>
    </w:p>
    <w:p w14:paraId="1232D849"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El segundo eje, por su parte, se enfoca en que el ser humano posee múltiples habilidades desarrolladas en el cerebro, tales como cognitivas, emocionales, sociales, espirituales, morales y físicas, las cuales son capaces de transformarse constantemente.</w:t>
      </w:r>
    </w:p>
    <w:p w14:paraId="43A02E5A" w14:textId="47C9F9C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Sin embargo, estudios efectuados en materia de salud, psicología y </w:t>
      </w:r>
      <w:proofErr w:type="gramStart"/>
      <w:r>
        <w:rPr>
          <w:rFonts w:ascii="Times New Roman" w:eastAsia="Calibri" w:hAnsi="Times New Roman" w:cs="Times New Roman"/>
          <w:bCs/>
          <w:sz w:val="24"/>
          <w:szCs w:val="24"/>
        </w:rPr>
        <w:t>neurociencia</w:t>
      </w:r>
      <w:proofErr w:type="gramEnd"/>
      <w:r>
        <w:rPr>
          <w:rFonts w:ascii="Times New Roman" w:eastAsia="Calibri" w:hAnsi="Times New Roman" w:cs="Times New Roman"/>
          <w:bCs/>
          <w:sz w:val="24"/>
          <w:szCs w:val="24"/>
        </w:rPr>
        <w:t xml:space="preserve"> así como en la medicina, entre otras disciplinas, aluden a que, en las mujeres víctimas de violencia intrafamiliar, es</w:t>
      </w:r>
      <w:r w:rsidR="000450C9">
        <w:rPr>
          <w:rFonts w:ascii="Times New Roman" w:eastAsia="Calibri" w:hAnsi="Times New Roman" w:cs="Times New Roman"/>
          <w:bCs/>
          <w:sz w:val="24"/>
          <w:szCs w:val="24"/>
        </w:rPr>
        <w:t xml:space="preserve"> común </w:t>
      </w:r>
      <w:r>
        <w:rPr>
          <w:rFonts w:ascii="Times New Roman" w:eastAsia="Calibri" w:hAnsi="Times New Roman" w:cs="Times New Roman"/>
          <w:bCs/>
          <w:sz w:val="24"/>
          <w:szCs w:val="24"/>
        </w:rPr>
        <w:t>encontrar que se vulneran las capacidades cognitivas dando paso a creencias disfuncionales. En muchas ocasiones, esto es lo que les dificulta dejar atrás el ciclo de violencia en que se encuentran inmersas por parte de sus compañeros o excompañeros sentimentales, como producto de los roles de género aprendidos por medio de la socialización, y al mismo tiempo, les impide acudir a su familia, a grupos de apoyo y la administración de justicia a exponer su situación.</w:t>
      </w:r>
    </w:p>
    <w:p w14:paraId="731F179F" w14:textId="01BAE3F6"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Esta vulnerabilidad cognitiva</w:t>
      </w:r>
      <w:r w:rsidR="00813877">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w:t>
      </w:r>
      <w:r w:rsidR="00F07C7E">
        <w:rPr>
          <w:rFonts w:ascii="Times New Roman" w:eastAsia="Calibri" w:hAnsi="Times New Roman" w:cs="Times New Roman"/>
          <w:bCs/>
          <w:sz w:val="24"/>
          <w:szCs w:val="24"/>
        </w:rPr>
        <w:t xml:space="preserve">provoca no sólo que </w:t>
      </w:r>
      <w:r w:rsidR="00813877">
        <w:rPr>
          <w:rFonts w:ascii="Times New Roman" w:eastAsia="Calibri" w:hAnsi="Times New Roman" w:cs="Times New Roman"/>
          <w:bCs/>
          <w:sz w:val="24"/>
          <w:szCs w:val="24"/>
        </w:rPr>
        <w:t>a una</w:t>
      </w:r>
      <w:r>
        <w:rPr>
          <w:rFonts w:ascii="Times New Roman" w:eastAsia="Calibri" w:hAnsi="Times New Roman" w:cs="Times New Roman"/>
          <w:bCs/>
          <w:sz w:val="24"/>
          <w:szCs w:val="24"/>
        </w:rPr>
        <w:t xml:space="preserve"> mujer se le dificulte romper con creencias</w:t>
      </w:r>
      <w:r w:rsidR="00F07C7E">
        <w:rPr>
          <w:rFonts w:ascii="Times New Roman" w:eastAsia="Calibri" w:hAnsi="Times New Roman" w:cs="Times New Roman"/>
          <w:bCs/>
          <w:sz w:val="24"/>
          <w:szCs w:val="24"/>
        </w:rPr>
        <w:t>,</w:t>
      </w:r>
      <w:r w:rsidR="001768B3">
        <w:rPr>
          <w:rFonts w:ascii="Times New Roman" w:eastAsia="Calibri" w:hAnsi="Times New Roman" w:cs="Times New Roman"/>
          <w:bCs/>
          <w:sz w:val="24"/>
          <w:szCs w:val="24"/>
        </w:rPr>
        <w:t xml:space="preserve"> </w:t>
      </w:r>
      <w:r w:rsidR="00F07C7E">
        <w:rPr>
          <w:rFonts w:ascii="Times New Roman" w:eastAsia="Calibri" w:hAnsi="Times New Roman" w:cs="Times New Roman"/>
          <w:bCs/>
          <w:sz w:val="24"/>
          <w:szCs w:val="24"/>
        </w:rPr>
        <w:t xml:space="preserve">sino </w:t>
      </w:r>
      <w:r w:rsidR="000450C9">
        <w:rPr>
          <w:rFonts w:ascii="Times New Roman" w:eastAsia="Calibri" w:hAnsi="Times New Roman" w:cs="Times New Roman"/>
          <w:bCs/>
          <w:sz w:val="24"/>
          <w:szCs w:val="24"/>
        </w:rPr>
        <w:t>como</w:t>
      </w:r>
      <w:r w:rsidR="001768B3">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aprender que no requiere de su pareja para la crianza de los hijos e hijas</w:t>
      </w:r>
      <w:r w:rsidR="000450C9">
        <w:rPr>
          <w:rFonts w:ascii="Times New Roman" w:eastAsia="Calibri" w:hAnsi="Times New Roman" w:cs="Times New Roman"/>
          <w:bCs/>
          <w:sz w:val="24"/>
          <w:szCs w:val="24"/>
        </w:rPr>
        <w:t>, que es</w:t>
      </w:r>
      <w:r w:rsidR="001768B3">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autosuficiente para abastecer sus necesidades alimentarias y las de su descendencia, que puede emplearse fuera del hogar y, lo más gravoso, romper con la creencia de que la violencia intrafamiliar no es un asunto pasajero ni se cura a través del amor.</w:t>
      </w:r>
    </w:p>
    <w:p w14:paraId="0ADA224E" w14:textId="77777777" w:rsidR="00E10342" w:rsidRDefault="00D31DDB" w:rsidP="0047152B">
      <w:pPr>
        <w:pStyle w:val="Standard"/>
        <w:spacing w:after="0" w:line="360" w:lineRule="auto"/>
        <w:ind w:firstLine="709"/>
        <w:jc w:val="both"/>
      </w:pPr>
      <w:r>
        <w:rPr>
          <w:rFonts w:ascii="Times New Roman" w:eastAsia="Calibri" w:hAnsi="Times New Roman" w:cs="Times New Roman"/>
          <w:bCs/>
          <w:sz w:val="24"/>
          <w:szCs w:val="24"/>
        </w:rPr>
        <w:t xml:space="preserve">Ambos ejes temáticos están construidos con el fin de describir lo que se ha dicho, cómo se ha abordado y el vacío que engloba el tema en estudio. De esta manera, cabe indicar que sobre la vulnerabilidad cognitiva en mujeres víctimas de violencia intrafamiliar desde lo judicial, no hay ningún estudio que abarque el conjunto de esta problemática, aunque la violencia intrafamiliar y la vulnerabilidad cognitiva sí han sido abordadas, generalmente de </w:t>
      </w:r>
      <w:r>
        <w:rPr>
          <w:rFonts w:ascii="Times New Roman" w:eastAsia="Calibri" w:hAnsi="Times New Roman" w:cs="Times New Roman"/>
          <w:bCs/>
          <w:sz w:val="24"/>
          <w:szCs w:val="24"/>
        </w:rPr>
        <w:lastRenderedPageBreak/>
        <w:t>forma separada, desde la sociología, los derechos humanos, la salud, la psicología, la medicina, entre otros, tanto a nivel nacional como en el extranjero, y desde la neurociencia.</w:t>
      </w:r>
    </w:p>
    <w:p w14:paraId="00A2A008" w14:textId="1DBFE5ED" w:rsidR="00E10342" w:rsidRPr="0047152B"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Todos los abordajes efectuados conllevan abordajes similares en cada tema, pero no se entrecruzan con el judicial. De ahí la importancia del presente trabajo, que buscar evidenciar la existencia de vulnerabilidad cognitiva en mujeres adultas víctimas de violencia intrafamiliar con edades entre los veintisiete y los treinta y cinco años, que acuden en busca de medidas de protección. Asimismo, la detección de estas permitirá al Poder Judicial tomar mejoras en su identificación y considerarlo dentro del proceso contra la Violencia Doméstica en el Juzgado especializado en la materia en el II Circuito Judicial de San José o en algún otro como réplica.</w:t>
      </w:r>
      <w:bookmarkStart w:id="79" w:name="_Toc45205383"/>
    </w:p>
    <w:p w14:paraId="6E2A3A23" w14:textId="65E47143" w:rsidR="00E10342" w:rsidRPr="0047152B" w:rsidRDefault="00D31DDB" w:rsidP="0047152B">
      <w:pPr>
        <w:pStyle w:val="Ttulo3"/>
      </w:pPr>
      <w:bookmarkStart w:id="80" w:name="__RefHeading__27445_1894434827"/>
      <w:bookmarkStart w:id="81" w:name="_Toc61276974"/>
      <w:bookmarkStart w:id="82" w:name="_Toc62463323"/>
      <w:bookmarkStart w:id="83" w:name="_Toc62476059"/>
      <w:bookmarkStart w:id="84" w:name="_Toc62476265"/>
      <w:bookmarkStart w:id="85" w:name="_Toc63688932"/>
      <w:r w:rsidRPr="0047152B">
        <w:t>1.5.1. Violencia Intrafamiliar</w:t>
      </w:r>
      <w:bookmarkEnd w:id="79"/>
      <w:bookmarkEnd w:id="80"/>
      <w:bookmarkEnd w:id="81"/>
      <w:bookmarkEnd w:id="82"/>
      <w:bookmarkEnd w:id="83"/>
      <w:bookmarkEnd w:id="84"/>
      <w:bookmarkEnd w:id="85"/>
    </w:p>
    <w:p w14:paraId="140A46A5" w14:textId="5AA611F1"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Para el presente TFG, mediante la lectura y análisis de la literatura seleccionada (que será descrita más adelante), desde disciplinas tales como salud, neurociencia, psicología y sociología, entre otras, la violencia resulta ser un fenómeno que ocurre a nivel global como parte de las construcciones de género aprendidas y que dan roles de comportamiento social a hombres y mujeres que debe ser erradicados. Esto último, dado que, como consecuencia, las mujeres son una de las poblaciones más vulnerables sin distinción de raza, etnia, credo, clase, edad, habilidad, </w:t>
      </w:r>
      <w:r w:rsidRPr="00333D21">
        <w:rPr>
          <w:rFonts w:ascii="Times New Roman" w:eastAsia="Calibri" w:hAnsi="Times New Roman" w:cs="Times New Roman"/>
          <w:bCs/>
          <w:sz w:val="24"/>
          <w:szCs w:val="24"/>
        </w:rPr>
        <w:t>sexualidad</w:t>
      </w:r>
      <w:r w:rsidR="003E0B15" w:rsidRPr="00333D21">
        <w:rPr>
          <w:rFonts w:ascii="Times New Roman" w:eastAsia="Calibri" w:hAnsi="Times New Roman" w:cs="Times New Roman"/>
          <w:bCs/>
          <w:sz w:val="24"/>
          <w:szCs w:val="24"/>
        </w:rPr>
        <w:t>,</w:t>
      </w:r>
      <w:r w:rsidRPr="00333D21">
        <w:rPr>
          <w:rFonts w:ascii="Times New Roman" w:eastAsia="Calibri" w:hAnsi="Times New Roman" w:cs="Times New Roman"/>
          <w:bCs/>
          <w:sz w:val="24"/>
          <w:szCs w:val="24"/>
        </w:rPr>
        <w:t xml:space="preserve"> tal y como rescata Jiménez (2007</w:t>
      </w:r>
      <w:r w:rsidR="003E0B15" w:rsidRPr="00333D21">
        <w:rPr>
          <w:rFonts w:ascii="Times New Roman" w:eastAsia="Calibri" w:hAnsi="Times New Roman" w:cs="Times New Roman"/>
          <w:bCs/>
          <w:sz w:val="24"/>
          <w:szCs w:val="24"/>
        </w:rPr>
        <w:t xml:space="preserve">, p. </w:t>
      </w:r>
      <w:proofErr w:type="gramStart"/>
      <w:r w:rsidR="003E0B15" w:rsidRPr="00333D21">
        <w:rPr>
          <w:rFonts w:ascii="Times New Roman" w:eastAsia="Calibri" w:hAnsi="Times New Roman" w:cs="Times New Roman"/>
          <w:bCs/>
          <w:sz w:val="24"/>
          <w:szCs w:val="24"/>
        </w:rPr>
        <w:t xml:space="preserve">7 </w:t>
      </w:r>
      <w:r w:rsidRPr="00333D21">
        <w:rPr>
          <w:rFonts w:ascii="Times New Roman" w:eastAsia="Calibri" w:hAnsi="Times New Roman" w:cs="Times New Roman"/>
          <w:bCs/>
          <w:sz w:val="24"/>
          <w:szCs w:val="24"/>
        </w:rPr>
        <w:t>)</w:t>
      </w:r>
      <w:proofErr w:type="gramEnd"/>
      <w:r w:rsidR="00F61CF2" w:rsidRPr="00333D21">
        <w:rPr>
          <w:rFonts w:ascii="Times New Roman" w:eastAsia="Calibri" w:hAnsi="Times New Roman" w:cs="Times New Roman"/>
          <w:bCs/>
          <w:sz w:val="24"/>
          <w:szCs w:val="24"/>
        </w:rPr>
        <w:t>.</w:t>
      </w:r>
      <w:r w:rsidR="00F61CF2">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En la misma línea de pensamiento, la violencia intrafamiliar, sea esta física, patrimonial, sexual, psicológica, verbal o emocional, resulta ser una violación a los derechos humanos de las mujeres con gran impacto en materias como la económica, la política, la social, la psicológica, e innegablemente dentro de la dinámica familiar. Aquí se enmarca el trabajo de Miranda (2018), quien, de manera clara, expone el tema e ilustra con una visión desde la psicología</w:t>
      </w:r>
      <w:r w:rsidR="00453B76">
        <w:rPr>
          <w:rFonts w:ascii="Times New Roman" w:eastAsia="Calibri" w:hAnsi="Times New Roman" w:cs="Times New Roman"/>
          <w:bCs/>
          <w:sz w:val="24"/>
          <w:szCs w:val="24"/>
        </w:rPr>
        <w:t>.</w:t>
      </w:r>
    </w:p>
    <w:p w14:paraId="6944DABE" w14:textId="55042BDE"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Desde el punto de vista económico, al amparo de la sostenibilidad en el presente</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siglo, se ha indicado también que, si bien los modelos económicos tradicionales se centran en la economía de mercado de óptica masculina, es un hecho que en la actualidad no se pierda de vista el que los procesos de reproducción humana se dan en el ámbito de lo doméstico y que, si en ámbito social existen conflictos, estos se reflejarán de una u otra forma en lo económico, al no poderse separar lo social que implica el trabajo de cuidados en los procesos de reproducción y mantenimiento de la vida.</w:t>
      </w:r>
    </w:p>
    <w:p w14:paraId="11888AB6" w14:textId="77777777" w:rsidR="00E10342" w:rsidRDefault="00D31DDB" w:rsidP="0047152B">
      <w:pPr>
        <w:pStyle w:val="Standard"/>
        <w:spacing w:after="0" w:line="360" w:lineRule="auto"/>
        <w:ind w:firstLine="709"/>
        <w:jc w:val="both"/>
      </w:pPr>
      <w:r>
        <w:rPr>
          <w:rFonts w:ascii="Times New Roman" w:eastAsia="Calibri" w:hAnsi="Times New Roman" w:cs="Times New Roman"/>
          <w:bCs/>
          <w:sz w:val="24"/>
          <w:szCs w:val="24"/>
        </w:rPr>
        <w:lastRenderedPageBreak/>
        <w:t xml:space="preserve">Desde esta perspectiva de desarrollo sostenible contemporáneo, lo social y lo económico van de la mano, razón por la cual las condiciones de vida de las personas son la prioridad. De ahí que, si bien es importante que la vida continúe, también lo es el que esta se desarrolle en </w:t>
      </w:r>
      <w:r>
        <w:rPr>
          <w:rFonts w:ascii="Times New Roman" w:eastAsia="Times New Roman" w:hAnsi="Times New Roman" w:cs="Times New Roman"/>
          <w:bCs/>
          <w:sz w:val="24"/>
          <w:szCs w:val="24"/>
          <w:lang w:eastAsia="es-CR"/>
        </w:rPr>
        <w:t>condiciones de las personas. Así, el concepto de sostenibilidad exige no solo que la vida continúe –en términos humanos, sociales y ecológicos–, sino también desarrollar condiciones de vida aceptables para toda la población. Esta nueva perspectiva permite destacar una dimensión olvidada de la crisis actual, la crisis de los cuidados, lo cual rescata Carrasco (2009)</w:t>
      </w:r>
      <w:r>
        <w:rPr>
          <w:rFonts w:ascii="Times New Roman" w:eastAsia="Calibri" w:hAnsi="Times New Roman" w:cs="Times New Roman"/>
          <w:bCs/>
          <w:sz w:val="24"/>
          <w:szCs w:val="24"/>
        </w:rPr>
        <w:t>.</w:t>
      </w:r>
    </w:p>
    <w:p w14:paraId="3E3E19DF" w14:textId="77777777" w:rsidR="00E10342" w:rsidRDefault="00D31DDB" w:rsidP="0047152B">
      <w:pPr>
        <w:pStyle w:val="Standard"/>
        <w:spacing w:after="0" w:line="360" w:lineRule="auto"/>
        <w:ind w:firstLine="709"/>
        <w:jc w:val="both"/>
      </w:pPr>
      <w:r>
        <w:rPr>
          <w:rFonts w:ascii="Times New Roman" w:eastAsia="Calibri" w:hAnsi="Times New Roman" w:cs="Times New Roman"/>
          <w:bCs/>
          <w:sz w:val="24"/>
          <w:szCs w:val="24"/>
        </w:rPr>
        <w:t>Por su parte, la violencia de género es un tema al cual los estados deben brindar atención en cuanto a los cambios culturales y estructurales necesarios para su erradicación, debido a que el respeto de los derechos humanos es lo que permitirá a los países su desarrollo y el pleno derecho de sus pobladores y los derechos humanos de las mujeres, no la excepción, tal y como acertadamente lo cita Rico (1996). Además, según Jiménez (2007), se debe incorporar en la Administración de Justicia la perspectiva de género, tal y como ha estado sucediendo en los últimos años en Latinoamérica.</w:t>
      </w:r>
    </w:p>
    <w:p w14:paraId="6F734ADD"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Aunado a lo anterior, la OMS (2002), indica que las mujeres, en algún momento de su vida, experimentan violencia, lo que puede implicar que presentan altos índices de discapacidad, intentos suicidas, altas tasas de mortalidad, baja autoestima, depresión y estrés postraumático, abuso de sustancias, baja tolerancia a la frustración, trastorno de personalidad, entre otros, tal y como indican Díaz-Martínez y Esteban-Jiménez (2003).</w:t>
      </w:r>
    </w:p>
    <w:p w14:paraId="350BEBBC" w14:textId="793DDBA6" w:rsidR="00E10342" w:rsidRDefault="00D31DDB" w:rsidP="0047152B">
      <w:pPr>
        <w:pStyle w:val="Standard"/>
        <w:spacing w:after="0" w:line="360" w:lineRule="auto"/>
        <w:ind w:firstLine="709"/>
        <w:jc w:val="both"/>
      </w:pPr>
      <w:r>
        <w:rPr>
          <w:rFonts w:ascii="Times New Roman" w:eastAsia="Calibri" w:hAnsi="Times New Roman" w:cs="Times New Roman"/>
          <w:bCs/>
          <w:sz w:val="24"/>
          <w:szCs w:val="24"/>
        </w:rPr>
        <w:t xml:space="preserve">En el caso costarricense, no solo se ha considerado relevante su abordaje por lo antes citado, sino por la influencia negativa que tiene sobre las relaciones sociales de solidaridad y cooperación, lo cual es conocido como </w:t>
      </w:r>
      <w:r w:rsidR="009F3B20">
        <w:rPr>
          <w:rFonts w:ascii="Times New Roman" w:eastAsia="Calibri" w:hAnsi="Times New Roman" w:cs="Times New Roman"/>
          <w:bCs/>
          <w:sz w:val="24"/>
          <w:szCs w:val="24"/>
        </w:rPr>
        <w:t>“</w:t>
      </w:r>
      <w:r>
        <w:rPr>
          <w:rFonts w:ascii="Times New Roman" w:eastAsia="Calibri" w:hAnsi="Times New Roman" w:cs="Times New Roman"/>
          <w:bCs/>
          <w:sz w:val="24"/>
          <w:szCs w:val="24"/>
        </w:rPr>
        <w:t>capital social”. Importante también es que la violencia de género, propiamente la intrafamiliar, y los accidentes de tránsito son los dos tipos de violencia a los que el Estado, vinculado con la sociedad civil, da prioridad en políticas públicas., tal y como lo describen Cruz, Jiménez y Rojas (2004). De ahí la existencia de legislación propia en la materia de violencia doméstica, la cual incluye la intrafamiliar, los protocolos de atención a víctima y la existencia de juzgados especializados en materia de violencia doméstica e intrafamiliar.</w:t>
      </w:r>
    </w:p>
    <w:p w14:paraId="54B5640C" w14:textId="524E1EEE" w:rsidR="00E10342" w:rsidRDefault="00D31DDB" w:rsidP="0047152B">
      <w:pPr>
        <w:pStyle w:val="Ttulo3"/>
      </w:pPr>
      <w:bookmarkStart w:id="86" w:name="__RefHeading__27447_1894434827"/>
      <w:bookmarkStart w:id="87" w:name="_Toc61276975"/>
      <w:bookmarkStart w:id="88" w:name="_Toc62463324"/>
      <w:bookmarkStart w:id="89" w:name="_Toc62476060"/>
      <w:bookmarkStart w:id="90" w:name="_Toc62476266"/>
      <w:bookmarkStart w:id="91" w:name="_Toc63688933"/>
      <w:r>
        <w:lastRenderedPageBreak/>
        <w:t xml:space="preserve">1.5.2. Vulnerabilidad </w:t>
      </w:r>
      <w:r w:rsidR="0047152B">
        <w:t>c</w:t>
      </w:r>
      <w:r>
        <w:t>ognitiva</w:t>
      </w:r>
      <w:bookmarkEnd w:id="86"/>
      <w:bookmarkEnd w:id="87"/>
      <w:bookmarkEnd w:id="88"/>
      <w:bookmarkEnd w:id="89"/>
      <w:bookmarkEnd w:id="90"/>
      <w:bookmarkEnd w:id="91"/>
    </w:p>
    <w:p w14:paraId="240296F2"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Para el presente trabajo, se parte, desde la neurociencia y de la psicología, del hecho de que el ser humano cuenta con el órgano del cerebro en el cual se conserva una serie de habilidades que van desde las cognitivas, emocionales, sociales, morales, físicas hasta las espirituales.</w:t>
      </w:r>
    </w:p>
    <w:p w14:paraId="12657E62"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Desde el enfoque cognitivo, Morais y </w:t>
      </w:r>
      <w:proofErr w:type="spellStart"/>
      <w:r>
        <w:rPr>
          <w:rFonts w:ascii="Times New Roman" w:eastAsia="Calibri" w:hAnsi="Times New Roman" w:cs="Times New Roman"/>
          <w:bCs/>
          <w:sz w:val="24"/>
          <w:szCs w:val="24"/>
        </w:rPr>
        <w:t>Kolinsky</w:t>
      </w:r>
      <w:proofErr w:type="spellEnd"/>
      <w:r>
        <w:rPr>
          <w:rFonts w:ascii="Times New Roman" w:eastAsia="Calibri" w:hAnsi="Times New Roman" w:cs="Times New Roman"/>
          <w:bCs/>
          <w:sz w:val="24"/>
          <w:szCs w:val="24"/>
        </w:rPr>
        <w:t xml:space="preserve"> (1996) aportan que debe distinguirse entre la adquisición de las capacidades lingüísticas y las perceptivas básicas, las cuales son de las primeras que se adquieren en la vida, y todos aquellos aprendizajes sobre los conocimientos y tratamiento de la información a través del tiempo.</w:t>
      </w:r>
    </w:p>
    <w:p w14:paraId="5AAE3F7B"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Esta corriente se mantiene en el tiempo y posteriormente se amplía con estudios que indican que la información modifica las habilidades y son estas modificaciones las que le permitirán vivir al hombre y a la mujer en sociedad, tal y como lo ha indicado Campos (2010). Además, se indica que las habilidades cambian según la información que se le provea al cerebro a lo largo del tiempo y de ahí que la información almacenada se procesa, registra, conserva, desecha o mejora a partir del aprendizaje y de la información que se va adquiriendo en la vida.</w:t>
      </w:r>
    </w:p>
    <w:p w14:paraId="69C62F44" w14:textId="77777777" w:rsidR="00E10342" w:rsidRDefault="00D31DDB" w:rsidP="0047152B">
      <w:pPr>
        <w:pStyle w:val="Standard"/>
        <w:spacing w:after="0" w:line="360" w:lineRule="auto"/>
        <w:ind w:firstLine="709"/>
        <w:jc w:val="both"/>
      </w:pPr>
      <w:r>
        <w:rPr>
          <w:rFonts w:ascii="Times New Roman" w:eastAsia="Calibri" w:hAnsi="Times New Roman" w:cs="Times New Roman"/>
          <w:bCs/>
          <w:sz w:val="24"/>
          <w:szCs w:val="24"/>
        </w:rPr>
        <w:t xml:space="preserve">Siguiendo esta línea de pensamiento, se ha señalado a las mujeres como población vulnerable en materia de violencia, al existir un alto porcentaje de probabilidad de que, a lo largo de su existencia, las mujeres experimenten algún tipo de violencia (sexual, patrimonial, psicológica, física, entre otras) que va a incidir en los esquemas disfuncionales, ya sea sobre la relación, sobre sí misma o ambas, tal y como lo indica Ramírez (2011). </w:t>
      </w:r>
    </w:p>
    <w:p w14:paraId="73103EE2" w14:textId="77777777" w:rsidR="00E10342" w:rsidRDefault="00D31DDB" w:rsidP="0047152B">
      <w:pPr>
        <w:pStyle w:val="Standard"/>
        <w:spacing w:after="0" w:line="360" w:lineRule="auto"/>
        <w:ind w:firstLine="709"/>
        <w:jc w:val="both"/>
      </w:pPr>
      <w:r>
        <w:rPr>
          <w:rFonts w:ascii="Times New Roman" w:eastAsia="Calibri" w:hAnsi="Times New Roman" w:cs="Times New Roman"/>
          <w:bCs/>
          <w:color w:val="000000"/>
          <w:sz w:val="24"/>
          <w:szCs w:val="24"/>
        </w:rPr>
        <w:t>Aunado a lo anterior</w:t>
      </w:r>
      <w:r>
        <w:rPr>
          <w:rFonts w:ascii="Times New Roman" w:eastAsia="Calibri" w:hAnsi="Times New Roman" w:cs="Times New Roman"/>
          <w:bCs/>
          <w:sz w:val="24"/>
          <w:szCs w:val="24"/>
        </w:rPr>
        <w:t>, Arcas (2014) refiere que las mujeres pueden llegar a estar condicionadas por el maltrato constante y continuo, ocasionando en ellas una serie de cogniciones y creencias disfuncionales entre las que se encuentran vergüenza, desesperanza, depresión, enojo y soledad, entre otros. Esto les proporciona una limitación para buscar recursos familiares o institucionales, entre los que destaca la administración de justicia, que le colaboren con el rompimiento del ciclo de la violencia intrafamiliar.</w:t>
      </w:r>
    </w:p>
    <w:p w14:paraId="5149559E"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Es menester indicar que, en este este punto, las mujeres han interiorizado como “normal” la dependencia emocional, económica, afectiva –suya y de sus hijos e hijas–, dando lugar a lo que la doctrina de género llama desesperanza aprendida, momento en donde, con frecuencia, buscan a toda costa sostener el instituto de la familia, aunque no sea </w:t>
      </w:r>
      <w:r>
        <w:rPr>
          <w:rFonts w:ascii="Times New Roman" w:eastAsia="Calibri" w:hAnsi="Times New Roman" w:cs="Times New Roman"/>
          <w:bCs/>
          <w:sz w:val="24"/>
          <w:szCs w:val="24"/>
        </w:rPr>
        <w:lastRenderedPageBreak/>
        <w:t>real, y mantienen el ideal de que sus hijos e hijas necesitan emocionalmente vivir con los padres bajo el mismo techo u hogar. No ven viable su capacidad de ser proveedoras de alimento, espiritualidad, educación o ninguna necesidad básica, ni para sí, ni mucho menos para sus hijos.</w:t>
      </w:r>
    </w:p>
    <w:p w14:paraId="05666F6F"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Lo anterior se refuerza en el hecho de que muchas de estas mujeres carecen de estudios que les permiten trabajar fuera del hogar de manera remunerada, siendo esta realidad la que, en muchas ocasiones, les paraliza; y muchas de las mujeres víctimas de violencia intrafamiliar llegan a pensar que la actitud o conducta variará, así como que será el sentimiento del amor quien cambiará al agresor.</w:t>
      </w:r>
    </w:p>
    <w:p w14:paraId="45CDB16B"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En ese sentido, </w:t>
      </w:r>
      <w:proofErr w:type="spellStart"/>
      <w:r>
        <w:rPr>
          <w:rFonts w:ascii="Times New Roman" w:eastAsia="Calibri" w:hAnsi="Times New Roman" w:cs="Times New Roman"/>
          <w:bCs/>
          <w:sz w:val="24"/>
          <w:szCs w:val="24"/>
        </w:rPr>
        <w:t>Alméciga</w:t>
      </w:r>
      <w:proofErr w:type="spellEnd"/>
      <w:r>
        <w:rPr>
          <w:rFonts w:ascii="Times New Roman" w:eastAsia="Calibri" w:hAnsi="Times New Roman" w:cs="Times New Roman"/>
          <w:bCs/>
          <w:sz w:val="24"/>
          <w:szCs w:val="24"/>
        </w:rPr>
        <w:t xml:space="preserve"> y Sanabria (2015) aportan que, si bien, efectivamente, las víctimas de violencia intrafamiliar presentan dependencia emocional, así como distorsiones cognitivas (culpabilidad, dependencia emocional, ansiedad por separación, expresiones afectivas, miedo a la soledad) se mantienen en relaciones de pareja de naturaleza tóxica ante el erróneo procesamiento de la información. Este le genera interpretaciones no ajustadas a su realidad y justifica los acontecimientos. lo cual les provoca incompetencia para tomar decisiones adecuadas o funcionales en las demás áreas de ajuste.</w:t>
      </w:r>
    </w:p>
    <w:p w14:paraId="7F1C2345" w14:textId="77777777"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De ahí que Paz y Labrador (2004) evidenciaran el hecho de que la violencia intrafamiliar es capaz de provocar un intenso malestar psicológico que tiene repercusiones en cuanto a la adaptación a la vida cotidiana y a la salud mental de las víctimas. Esto arroja como dato relevante que el trastorno de estrés postraumático y el síndrome de estrés postraumático, así como la comorbilidad con depresión, la inadaptación general y la baja autoestima son frecuentes.</w:t>
      </w:r>
    </w:p>
    <w:p w14:paraId="75820041" w14:textId="3E252164"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Como es posible apreciar, pese a los importantes aportes indicados tanto para la comprensión del tema de la violencia doméstica (específicamente, la intrafamiliar) como para el de la vulnerabilidad cognitiva a la que se enfrentan las mujeres víctimas de violencia intrafamiliar, ninguna de las investigaciones efectuadas aborda, aclara o profundiza</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en cuanto al abordaje integral que, desde lo judicial, debe darse ante un caso en que se detecte vulnerabilidad cognitiva en una mujer adulta víctima de violencia intrafamiliar, entre los veintisiete y treinta y cinco años de edad. Es decir, aproximarse a reflexionar o investigar sobre la violencia intrafamiliar, así como sobre la vulnerabilidad cognitiva en las mujeres </w:t>
      </w:r>
      <w:r>
        <w:rPr>
          <w:rFonts w:ascii="Times New Roman" w:eastAsia="Calibri" w:hAnsi="Times New Roman" w:cs="Times New Roman"/>
          <w:bCs/>
          <w:sz w:val="24"/>
          <w:szCs w:val="24"/>
        </w:rPr>
        <w:lastRenderedPageBreak/>
        <w:t xml:space="preserve">de manera segmentada y cualquier otro tema relacionado no ha sido suficiente para comprender desde el nivel jurídico ni desde lo </w:t>
      </w:r>
      <w:proofErr w:type="spellStart"/>
      <w:r>
        <w:rPr>
          <w:rFonts w:ascii="Times New Roman" w:eastAsia="Calibri" w:hAnsi="Times New Roman" w:cs="Times New Roman"/>
          <w:bCs/>
          <w:sz w:val="24"/>
          <w:szCs w:val="24"/>
        </w:rPr>
        <w:t>sociojurídico</w:t>
      </w:r>
      <w:proofErr w:type="spellEnd"/>
    </w:p>
    <w:p w14:paraId="1750B6ED" w14:textId="515C690C" w:rsidR="00E10342" w:rsidRDefault="00D31DDB" w:rsidP="0047152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No obstante, los dos ejes contribuyen, mediante sus aproximaciones y vacíos, a conformar el problema de estudio sobre el cual se basa y justifica la presente investigación. Por tanto, para aproximarse a la comprensión </w:t>
      </w:r>
      <w:proofErr w:type="spellStart"/>
      <w:r>
        <w:rPr>
          <w:rFonts w:ascii="Times New Roman" w:eastAsia="Calibri" w:hAnsi="Times New Roman" w:cs="Times New Roman"/>
          <w:bCs/>
          <w:sz w:val="24"/>
          <w:szCs w:val="24"/>
        </w:rPr>
        <w:t>sociojurídica</w:t>
      </w:r>
      <w:proofErr w:type="spellEnd"/>
      <w:r>
        <w:rPr>
          <w:rFonts w:ascii="Times New Roman" w:eastAsia="Calibri" w:hAnsi="Times New Roman" w:cs="Times New Roman"/>
          <w:bCs/>
          <w:sz w:val="24"/>
          <w:szCs w:val="24"/>
        </w:rPr>
        <w:t xml:space="preserve"> de esta construcción social, se plantea iniciar por indagar en algunos aspectos constitutivos del ser, como el pasado y presente biográfico en este grupo de mujeres, o espacios más cercanos que intervienen en la percepción propia y ajena de la violencia doméstica y la vulnerabilidad cognitiva, así como su abordaje a nivel judicial. Con esto, se pretende contribuir de la forma más novedosa posible al conocimiento existente alrededor del fenómeno</w:t>
      </w:r>
    </w:p>
    <w:p w14:paraId="33D6F3B9" w14:textId="77777777" w:rsidR="001269F8" w:rsidRDefault="001269F8">
      <w:pPr>
        <w:rPr>
          <w:rFonts w:eastAsia="Times New Roman" w:cs="Times New Roman"/>
          <w:b/>
          <w:szCs w:val="28"/>
          <w:lang w:val="es-SV"/>
        </w:rPr>
      </w:pPr>
      <w:bookmarkStart w:id="92" w:name="_Toc45205384"/>
      <w:bookmarkStart w:id="93" w:name="__RefHeading__27449_1894434827"/>
      <w:bookmarkStart w:id="94" w:name="_Toc61276976"/>
      <w:r>
        <w:rPr>
          <w:szCs w:val="28"/>
        </w:rPr>
        <w:br w:type="page"/>
      </w:r>
    </w:p>
    <w:p w14:paraId="5300B4E6" w14:textId="0BA42974" w:rsidR="00E10342" w:rsidRPr="00322C3B" w:rsidRDefault="00D31DDB" w:rsidP="00322C3B">
      <w:pPr>
        <w:pStyle w:val="Ttulo1"/>
      </w:pPr>
      <w:bookmarkStart w:id="95" w:name="_Toc62463325"/>
      <w:bookmarkStart w:id="96" w:name="_Toc62476061"/>
      <w:bookmarkStart w:id="97" w:name="_Toc62476267"/>
      <w:bookmarkStart w:id="98" w:name="_Toc63688934"/>
      <w:r w:rsidRPr="00322C3B">
        <w:lastRenderedPageBreak/>
        <w:t>Capítulo II</w:t>
      </w:r>
      <w:bookmarkEnd w:id="92"/>
      <w:bookmarkEnd w:id="93"/>
      <w:bookmarkEnd w:id="94"/>
      <w:bookmarkEnd w:id="95"/>
      <w:bookmarkEnd w:id="96"/>
      <w:bookmarkEnd w:id="97"/>
      <w:bookmarkEnd w:id="98"/>
    </w:p>
    <w:p w14:paraId="5D28CFEB" w14:textId="5C2AA709" w:rsidR="00E10342" w:rsidRPr="00322C3B" w:rsidRDefault="00C75A2B" w:rsidP="00322C3B">
      <w:pPr>
        <w:pStyle w:val="Ttulo1"/>
      </w:pPr>
      <w:bookmarkStart w:id="99" w:name="_Toc62463326"/>
      <w:bookmarkStart w:id="100" w:name="_Toc62476062"/>
      <w:bookmarkStart w:id="101" w:name="_Toc62476268"/>
      <w:bookmarkStart w:id="102" w:name="_Toc63688935"/>
      <w:r w:rsidRPr="00322C3B">
        <w:t>Problematización</w:t>
      </w:r>
      <w:bookmarkEnd w:id="99"/>
      <w:bookmarkEnd w:id="100"/>
      <w:bookmarkEnd w:id="101"/>
      <w:bookmarkEnd w:id="102"/>
    </w:p>
    <w:p w14:paraId="01BD4796" w14:textId="77777777" w:rsidR="00E10342" w:rsidRDefault="00D31DDB" w:rsidP="009D3BDC">
      <w:pPr>
        <w:rPr>
          <w:lang w:val="es-SV"/>
        </w:rPr>
      </w:pPr>
      <w:bookmarkStart w:id="103" w:name="__RefHeading__27453_1894434827"/>
      <w:bookmarkStart w:id="104" w:name="_Toc61276978"/>
      <w:bookmarkStart w:id="105" w:name="_Toc47982090"/>
      <w:bookmarkStart w:id="106" w:name="_Toc62476269"/>
      <w:r>
        <w:rPr>
          <w:lang w:val="es-SV"/>
        </w:rPr>
        <w:t>Una vez definido los antecedentes relacionados al trabajo de graduación que se desarrolla, corresponde a este capítulo del trabajo establecer los problemas de investigación, así como los objetivos que alcanzará el estudio propuesto.</w:t>
      </w:r>
      <w:bookmarkEnd w:id="103"/>
      <w:bookmarkEnd w:id="104"/>
      <w:bookmarkEnd w:id="105"/>
      <w:bookmarkEnd w:id="106"/>
    </w:p>
    <w:p w14:paraId="4375965B" w14:textId="77777777" w:rsidR="00E10342" w:rsidRDefault="00D31DDB" w:rsidP="00322C3B">
      <w:pPr>
        <w:pStyle w:val="Ttulo2"/>
      </w:pPr>
      <w:bookmarkStart w:id="107" w:name="_Toc61276979"/>
      <w:bookmarkStart w:id="108" w:name="__RefHeading__27455_1894434827"/>
      <w:bookmarkStart w:id="109" w:name="_Toc62463327"/>
      <w:bookmarkStart w:id="110" w:name="_Toc62476063"/>
      <w:bookmarkStart w:id="111" w:name="_Toc62476270"/>
      <w:bookmarkStart w:id="112" w:name="_Toc63688936"/>
      <w:r>
        <w:t xml:space="preserve">2.1. </w:t>
      </w:r>
      <w:bookmarkStart w:id="113" w:name="_Toc45205386"/>
      <w:r>
        <w:t>Planteamiento del problema</w:t>
      </w:r>
      <w:bookmarkEnd w:id="107"/>
      <w:bookmarkEnd w:id="108"/>
      <w:bookmarkEnd w:id="109"/>
      <w:bookmarkEnd w:id="110"/>
      <w:bookmarkEnd w:id="111"/>
      <w:bookmarkEnd w:id="112"/>
      <w:bookmarkEnd w:id="113"/>
    </w:p>
    <w:p w14:paraId="11C30CB0" w14:textId="734551DA" w:rsidR="00E10342" w:rsidRDefault="00D31DDB" w:rsidP="00322C3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La construcción del problema </w:t>
      </w:r>
      <w:proofErr w:type="spellStart"/>
      <w:r>
        <w:rPr>
          <w:rFonts w:ascii="Times New Roman" w:eastAsia="Calibri" w:hAnsi="Times New Roman" w:cs="Times New Roman"/>
          <w:bCs/>
          <w:sz w:val="24"/>
          <w:szCs w:val="24"/>
        </w:rPr>
        <w:t>sociojurídico</w:t>
      </w:r>
      <w:proofErr w:type="spellEnd"/>
      <w:r w:rsidR="005965BB">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surge a partir de la reflexión crítica efectuada en el proceso de recopilación y análisis de información procedente de la contextualización. En este apartado, se describe la problematización a partir de las preguntas generadoras que se concretizaron en el problema de investigación. Posteriormente, se delimitó el objeto de estudio y la forma de abordaje, mediante el planteamiento del objetivo general y los objetivos específicos.</w:t>
      </w:r>
    </w:p>
    <w:p w14:paraId="02CA8239" w14:textId="77777777" w:rsidR="00E10342" w:rsidRDefault="00D31DDB" w:rsidP="00322C3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A través del análisis de las líneas utilizadas en los apartados anteriores, se considera que las mujeres resultan ser víctimas de violencia intrafamiliar a mano de sus parejas producto de la construcción social de género en donde predominan las desigualdades entre hombres y mujeres, considerando la dominación y, por ende, el maltrato de estos hacia las mujeres.</w:t>
      </w:r>
    </w:p>
    <w:p w14:paraId="2DF286B8" w14:textId="77777777" w:rsidR="00E10342" w:rsidRDefault="00D31DDB" w:rsidP="00322C3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La violencia contra las mujeres ha sido considerada desde el 2002, por la OMS, como pandemia ante su condición global, en donde el sistema androcéntrico marca obstáculos, formas de dominio, distracción y subordinación que impiden el reconocimiento y desarrollo integral e identitario deseado por las mujeres. Esto se confirma, a su vez, al analizar investigaciones en otras áreas, tales como la psicología y la neurociencia: se produce vulnerabilidad en las habilidades dentro de las que se cita las cognitivas, las emocionales, las sociales, las espirituales, las morales y las físicas.</w:t>
      </w:r>
    </w:p>
    <w:p w14:paraId="4C271BA9" w14:textId="513BC9F1" w:rsidR="00E10342" w:rsidRDefault="00D31DDB" w:rsidP="00322C3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Es importante mencionar que estas habilidades son capaces de transformarse constantemente, conforme se nutre de información el cerebro con el paso del tiempo en la vida del ser humano. Asimismo lo es que, ante situaciones de estrés, depresión o distorsiones cognitivas (tales como culpabilidad, dependencia emocional, ansiedad por separación, expresiones afectivas, miedo a la soledad</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producto de relaciones de pareja de naturaleza tóxica) exista alta probabilidad de que se produzca</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un</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erróneo procesamiento de la información</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e interpretaciones no ajustadas a su realidad, además de una tendencia a </w:t>
      </w:r>
      <w:r>
        <w:rPr>
          <w:rFonts w:ascii="Times New Roman" w:eastAsia="Calibri" w:hAnsi="Times New Roman" w:cs="Times New Roman"/>
          <w:bCs/>
          <w:sz w:val="24"/>
          <w:szCs w:val="24"/>
        </w:rPr>
        <w:lastRenderedPageBreak/>
        <w:t>justificar los acontecimientos viciando competencia para tomar decisiones adecuadas o funcionales</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en las demás áreas de ajuste.</w:t>
      </w:r>
    </w:p>
    <w:p w14:paraId="135CF292" w14:textId="45B3EE62" w:rsidR="00E10342" w:rsidRDefault="00D31DDB" w:rsidP="00322C3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Un hecho fundamental dentro de las investigaciones encontradas es que los estudios se centran en conocer ambos fenómenos, pero por separado: la violencia intrafamiliar y la vulnerabilidad cognitiva, pero nunca entremezclando ambas desde el ámbito judicial y las repercusiones que su no abordaje integral</w:t>
      </w:r>
      <w:r w:rsidR="005965BB">
        <w:rPr>
          <w:rFonts w:ascii="Times New Roman" w:eastAsia="Calibri" w:hAnsi="Times New Roman" w:cs="Times New Roman"/>
          <w:bCs/>
          <w:sz w:val="24"/>
          <w:szCs w:val="24"/>
        </w:rPr>
        <w:t>,</w:t>
      </w:r>
      <w:r>
        <w:rPr>
          <w:rFonts w:ascii="Times New Roman" w:eastAsia="Calibri" w:hAnsi="Times New Roman" w:cs="Times New Roman"/>
          <w:bCs/>
          <w:sz w:val="24"/>
          <w:szCs w:val="24"/>
        </w:rPr>
        <w:t xml:space="preserve"> por parte de las personas administradoras de justicia y sus auxiliares pudiera tener, como lo sería la revictimización de la mujer en estrados judiciales y, como consecuencia, del Estado.</w:t>
      </w:r>
      <w:r w:rsidR="005F159A">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Por esto, a pesar de que gran parte de las investigaciones aportan conocimiento necesario en cuanto a los temas de violencia intrafamiliar y vulnerabilidad cognitiva, su no abordaje en conjunto integrando el aspecto judicial obstaculiza una comprensión más autónoma e integral.</w:t>
      </w:r>
    </w:p>
    <w:p w14:paraId="6FD28C26" w14:textId="77777777" w:rsidR="00E10342" w:rsidRDefault="00D31DDB" w:rsidP="00322C3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Esta investigación plantea hacer un salto cualitativo y busca vincular los tres ejes: violencia intrafamiliar en mujer adultas con edades entre los veintisiete y treinta y cinco años que presenten vulnerabilidad cognitiva y sean usuarias del Juzgado Contra la Violencia Doméstica del II Circuito Judicial de San José, pues es un fenómeno </w:t>
      </w:r>
      <w:proofErr w:type="spellStart"/>
      <w:r>
        <w:rPr>
          <w:rFonts w:ascii="Times New Roman" w:eastAsia="Calibri" w:hAnsi="Times New Roman" w:cs="Times New Roman"/>
          <w:bCs/>
          <w:sz w:val="24"/>
          <w:szCs w:val="24"/>
        </w:rPr>
        <w:t>sociojurídico</w:t>
      </w:r>
      <w:proofErr w:type="spellEnd"/>
      <w:r>
        <w:rPr>
          <w:rFonts w:ascii="Times New Roman" w:eastAsia="Calibri" w:hAnsi="Times New Roman" w:cs="Times New Roman"/>
          <w:bCs/>
          <w:sz w:val="24"/>
          <w:szCs w:val="24"/>
        </w:rPr>
        <w:t xml:space="preserve"> no abordado anteriormente. Esto provoca la necesidad de ahondar los modos en que las mujeres son abordadas judicialmente y presentan vulnerabilidad cognitiva.</w:t>
      </w:r>
    </w:p>
    <w:p w14:paraId="7B578816" w14:textId="77777777" w:rsidR="00E10342" w:rsidRDefault="00D31DDB" w:rsidP="00322C3B">
      <w:pPr>
        <w:pStyle w:val="Standard"/>
        <w:spacing w:after="0" w:line="360" w:lineRule="auto"/>
        <w:ind w:firstLine="709"/>
        <w:jc w:val="both"/>
      </w:pPr>
      <w:r>
        <w:rPr>
          <w:rFonts w:ascii="Times New Roman" w:eastAsia="Calibri" w:hAnsi="Times New Roman" w:cs="Times New Roman"/>
          <w:bCs/>
          <w:sz w:val="24"/>
          <w:szCs w:val="24"/>
        </w:rPr>
        <w:t xml:space="preserve">En otras palabras, resultan importantes sus antecedentes, su percepción y el abordaje de los actores en el ámbito, en aras de evitar revictimizaciones. Señalado lo anterior, queda abierta la posibilidad de crear el conocimiento </w:t>
      </w:r>
      <w:proofErr w:type="spellStart"/>
      <w:r>
        <w:rPr>
          <w:rFonts w:ascii="Times New Roman" w:eastAsia="Calibri" w:hAnsi="Times New Roman" w:cs="Times New Roman"/>
          <w:bCs/>
          <w:sz w:val="24"/>
          <w:szCs w:val="24"/>
        </w:rPr>
        <w:t>sociojurídico</w:t>
      </w:r>
      <w:proofErr w:type="spellEnd"/>
      <w:r>
        <w:rPr>
          <w:rFonts w:ascii="Times New Roman" w:eastAsia="Calibri" w:hAnsi="Times New Roman" w:cs="Times New Roman"/>
          <w:bCs/>
          <w:sz w:val="24"/>
          <w:szCs w:val="24"/>
        </w:rPr>
        <w:t xml:space="preserve"> que muestre la forma en que se entremezclan la violencia intrafamiliar y la vulnerabilidad cognitiva desde lo judicial, a partir de una perspectiva expuesta de las mujeres víctimas de violencia intrafamiliar a una serie de estigmas y expectativas sociales producto de las formas de dominación que no han permitido en el pasado visualizar crítica e integralmente este fenómeno.</w:t>
      </w:r>
    </w:p>
    <w:p w14:paraId="680C9E9D" w14:textId="77777777" w:rsidR="00E10342" w:rsidRDefault="00D31DDB" w:rsidP="00322C3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Lo anterior permitirá un nuevo abordaje </w:t>
      </w:r>
      <w:proofErr w:type="spellStart"/>
      <w:r>
        <w:rPr>
          <w:rFonts w:ascii="Times New Roman" w:eastAsia="Calibri" w:hAnsi="Times New Roman" w:cs="Times New Roman"/>
          <w:bCs/>
          <w:sz w:val="24"/>
          <w:szCs w:val="24"/>
        </w:rPr>
        <w:t>sociojurídico</w:t>
      </w:r>
      <w:proofErr w:type="spellEnd"/>
      <w:r>
        <w:rPr>
          <w:rFonts w:ascii="Times New Roman" w:eastAsia="Calibri" w:hAnsi="Times New Roman" w:cs="Times New Roman"/>
          <w:bCs/>
          <w:sz w:val="24"/>
          <w:szCs w:val="24"/>
        </w:rPr>
        <w:t xml:space="preserve"> desde el cual lograr mejoras en el abordaje integral. Consecuentemente con lo ya expuesto, y según el reconocimiento del vacío presente en la información recopilada, se estableció una serie de interrogantes que expresan las inquietudes necesarias de responder mediante un proceso investigativo y que dirigen la mirada hacia el planteamiento de un problema general. Así pues, surgieron como preguntas generadoras las siguientes:</w:t>
      </w:r>
    </w:p>
    <w:p w14:paraId="472DD928" w14:textId="77777777" w:rsidR="00E10342" w:rsidRDefault="00D31DDB" w:rsidP="00322C3B">
      <w:pPr>
        <w:pStyle w:val="Standard"/>
        <w:numPr>
          <w:ilvl w:val="0"/>
          <w:numId w:val="24"/>
        </w:numPr>
        <w:tabs>
          <w:tab w:val="left" w:pos="851"/>
          <w:tab w:val="left" w:pos="993"/>
        </w:tabs>
        <w:spacing w:after="0" w:line="360" w:lineRule="auto"/>
        <w:ind w:left="0" w:firstLine="680"/>
        <w:jc w:val="both"/>
        <w:rPr>
          <w:rFonts w:ascii="Times New Roman" w:eastAsia="Calibri" w:hAnsi="Times New Roman" w:cs="Times New Roman"/>
          <w:bCs/>
          <w:sz w:val="24"/>
          <w:szCs w:val="24"/>
        </w:rPr>
      </w:pPr>
      <w:r>
        <w:rPr>
          <w:rFonts w:ascii="Times New Roman" w:eastAsia="Calibri" w:hAnsi="Times New Roman" w:cs="Times New Roman"/>
          <w:bCs/>
          <w:sz w:val="24"/>
          <w:szCs w:val="24"/>
        </w:rPr>
        <w:t>¿Cómo se incluye la perspectiva de género en el Poder Judicial?</w:t>
      </w:r>
    </w:p>
    <w:p w14:paraId="44F0B17E" w14:textId="77777777" w:rsidR="00E10342" w:rsidRDefault="00D31DDB" w:rsidP="00322C3B">
      <w:pPr>
        <w:pStyle w:val="Standard"/>
        <w:numPr>
          <w:ilvl w:val="0"/>
          <w:numId w:val="5"/>
        </w:numPr>
        <w:tabs>
          <w:tab w:val="left" w:pos="851"/>
          <w:tab w:val="left" w:pos="993"/>
        </w:tabs>
        <w:spacing w:after="0" w:line="360" w:lineRule="auto"/>
        <w:ind w:left="0" w:firstLine="680"/>
        <w:jc w:val="both"/>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¿Qué se entiende por vulnerabilidad cognitiva?</w:t>
      </w:r>
    </w:p>
    <w:p w14:paraId="60D60012" w14:textId="77777777" w:rsidR="00E10342" w:rsidRDefault="00D31DDB" w:rsidP="00322C3B">
      <w:pPr>
        <w:pStyle w:val="Standard"/>
        <w:numPr>
          <w:ilvl w:val="0"/>
          <w:numId w:val="5"/>
        </w:numPr>
        <w:tabs>
          <w:tab w:val="left" w:pos="851"/>
          <w:tab w:val="left" w:pos="993"/>
        </w:tabs>
        <w:spacing w:after="0" w:line="360" w:lineRule="auto"/>
        <w:ind w:left="0" w:firstLine="680"/>
        <w:jc w:val="both"/>
        <w:rPr>
          <w:rFonts w:ascii="Times New Roman" w:eastAsia="Calibri" w:hAnsi="Times New Roman" w:cs="Times New Roman"/>
          <w:bCs/>
          <w:sz w:val="24"/>
          <w:szCs w:val="24"/>
        </w:rPr>
      </w:pPr>
      <w:r>
        <w:rPr>
          <w:rFonts w:ascii="Times New Roman" w:eastAsia="Calibri" w:hAnsi="Times New Roman" w:cs="Times New Roman"/>
          <w:bCs/>
          <w:sz w:val="24"/>
          <w:szCs w:val="24"/>
        </w:rPr>
        <w:t>¿Cuál es el proceso de identificación de vulnerabilidad cognitiva en el Poder Judicial?</w:t>
      </w:r>
    </w:p>
    <w:p w14:paraId="0CCD8F74" w14:textId="77777777" w:rsidR="00E10342" w:rsidRDefault="00D31DDB" w:rsidP="00322C3B">
      <w:pPr>
        <w:pStyle w:val="Standard"/>
        <w:numPr>
          <w:ilvl w:val="0"/>
          <w:numId w:val="5"/>
        </w:numPr>
        <w:tabs>
          <w:tab w:val="left" w:pos="851"/>
          <w:tab w:val="left" w:pos="993"/>
        </w:tabs>
        <w:spacing w:after="0" w:line="360" w:lineRule="auto"/>
        <w:ind w:left="0" w:firstLine="680"/>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¿Presentan vulnerabilidades cognitivas las mujeres víctimas de violencia intrafamiliar?</w:t>
      </w:r>
    </w:p>
    <w:p w14:paraId="4505119C" w14:textId="77777777" w:rsidR="00E10342" w:rsidRDefault="00D31DDB" w:rsidP="00322C3B">
      <w:pPr>
        <w:pStyle w:val="Standard"/>
        <w:numPr>
          <w:ilvl w:val="0"/>
          <w:numId w:val="5"/>
        </w:numPr>
        <w:tabs>
          <w:tab w:val="left" w:pos="851"/>
          <w:tab w:val="left" w:pos="993"/>
        </w:tabs>
        <w:spacing w:after="0" w:line="360" w:lineRule="auto"/>
        <w:ind w:left="0" w:firstLine="680"/>
        <w:jc w:val="both"/>
        <w:rPr>
          <w:rFonts w:ascii="Times New Roman" w:eastAsia="Calibri" w:hAnsi="Times New Roman" w:cs="Times New Roman"/>
          <w:bCs/>
          <w:sz w:val="24"/>
          <w:szCs w:val="24"/>
        </w:rPr>
      </w:pPr>
      <w:r>
        <w:rPr>
          <w:rFonts w:ascii="Times New Roman" w:eastAsia="Calibri" w:hAnsi="Times New Roman" w:cs="Times New Roman"/>
          <w:bCs/>
          <w:sz w:val="24"/>
          <w:szCs w:val="24"/>
        </w:rPr>
        <w:t>¿Las mujeres víctimas de violencia intrafamiliar con vulnerabilidad cognitiva son revictimizadas en el proceso judicial?</w:t>
      </w:r>
    </w:p>
    <w:p w14:paraId="730899CE" w14:textId="77777777" w:rsidR="00E10342" w:rsidRDefault="00D31DDB" w:rsidP="00322C3B">
      <w:pPr>
        <w:pStyle w:val="Standard"/>
        <w:spacing w:after="0" w:line="360"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Asimismo, surgió como el problema general de interés el siguiente: ¿De qué manera se abordó la vulnerabilidad cognitiva en las mujeres víctimas de violencia intrafamiliar con edades entre los 27-35 en el Juzgado Contra la Violencia Doméstica en el período 2018-2019?</w:t>
      </w:r>
    </w:p>
    <w:p w14:paraId="2C016F18" w14:textId="64433776" w:rsidR="00E10342" w:rsidRDefault="00B01CBD" w:rsidP="00B01CBD">
      <w:pPr>
        <w:pStyle w:val="Ttulo2"/>
      </w:pPr>
      <w:bookmarkStart w:id="114" w:name="__RefHeading__27457_1894434827"/>
      <w:bookmarkStart w:id="115" w:name="_Toc61276980"/>
      <w:bookmarkStart w:id="116" w:name="_Toc45205387"/>
      <w:bookmarkStart w:id="117" w:name="_Toc62463328"/>
      <w:bookmarkStart w:id="118" w:name="_Toc62476064"/>
      <w:bookmarkStart w:id="119" w:name="_Toc62476271"/>
      <w:bookmarkStart w:id="120" w:name="_Toc63688937"/>
      <w:r>
        <w:t>2.2. Objetivos</w:t>
      </w:r>
      <w:bookmarkEnd w:id="114"/>
      <w:bookmarkEnd w:id="115"/>
      <w:bookmarkEnd w:id="116"/>
      <w:bookmarkEnd w:id="117"/>
      <w:bookmarkEnd w:id="118"/>
      <w:bookmarkEnd w:id="119"/>
      <w:bookmarkEnd w:id="120"/>
    </w:p>
    <w:p w14:paraId="4CF59DD0" w14:textId="77777777" w:rsidR="00E10342" w:rsidRDefault="00D31DDB" w:rsidP="00B01CBD">
      <w:pPr>
        <w:pStyle w:val="Ttulo3"/>
      </w:pPr>
      <w:bookmarkStart w:id="121" w:name="_Toc61276981"/>
      <w:bookmarkStart w:id="122" w:name="__RefHeading__27459_1894434827"/>
      <w:bookmarkStart w:id="123" w:name="_Toc62463329"/>
      <w:bookmarkStart w:id="124" w:name="_Toc62476065"/>
      <w:bookmarkStart w:id="125" w:name="_Toc62476272"/>
      <w:bookmarkStart w:id="126" w:name="_Toc63688938"/>
      <w:r>
        <w:t>2.2.1 Objetivo General</w:t>
      </w:r>
      <w:bookmarkEnd w:id="121"/>
      <w:bookmarkEnd w:id="122"/>
      <w:bookmarkEnd w:id="123"/>
      <w:bookmarkEnd w:id="124"/>
      <w:bookmarkEnd w:id="125"/>
      <w:bookmarkEnd w:id="126"/>
    </w:p>
    <w:p w14:paraId="6748DAB5" w14:textId="5520605F" w:rsidR="00E10342" w:rsidRPr="00CE4B45" w:rsidRDefault="00D31DDB" w:rsidP="009F3B20">
      <w:pPr>
        <w:pStyle w:val="Prrafodelista"/>
        <w:numPr>
          <w:ilvl w:val="0"/>
          <w:numId w:val="25"/>
        </w:numPr>
        <w:tabs>
          <w:tab w:val="left" w:pos="993"/>
        </w:tabs>
        <w:spacing w:after="0" w:line="360" w:lineRule="auto"/>
        <w:ind w:left="0" w:firstLine="709"/>
        <w:jc w:val="both"/>
        <w:rPr>
          <w:rFonts w:ascii="Times New Roman" w:eastAsia="Calibri" w:hAnsi="Times New Roman" w:cs="Times New Roman"/>
          <w:bCs/>
          <w:sz w:val="24"/>
          <w:szCs w:val="24"/>
        </w:rPr>
      </w:pPr>
      <w:r w:rsidRPr="00A20C3C">
        <w:rPr>
          <w:rFonts w:ascii="Times New Roman" w:eastAsia="Calibri" w:hAnsi="Times New Roman" w:cs="Times New Roman"/>
          <w:bCs/>
          <w:sz w:val="24"/>
          <w:szCs w:val="24"/>
        </w:rPr>
        <w:t xml:space="preserve">Analizar el abordaje de la vulnerabilidad cognitiva en mujeres víctimas de violencia intrafamiliar en edades entre los 27 a </w:t>
      </w:r>
      <w:r w:rsidRPr="00CE4B45">
        <w:rPr>
          <w:rFonts w:ascii="Times New Roman" w:eastAsia="Calibri" w:hAnsi="Times New Roman" w:cs="Times New Roman"/>
          <w:bCs/>
          <w:sz w:val="24"/>
          <w:szCs w:val="24"/>
        </w:rPr>
        <w:t xml:space="preserve">35 años en el Juzgado Contra la Violencia Doméstica </w:t>
      </w:r>
      <w:r w:rsidR="00D72101" w:rsidRPr="00CE4B45">
        <w:rPr>
          <w:rFonts w:ascii="Times New Roman" w:hAnsi="Times New Roman" w:cs="Times New Roman"/>
          <w:bCs/>
          <w:sz w:val="24"/>
          <w:szCs w:val="24"/>
        </w:rPr>
        <w:t xml:space="preserve">II Circuito </w:t>
      </w:r>
      <w:r w:rsidR="00D72101" w:rsidRPr="00EE46B9">
        <w:rPr>
          <w:rFonts w:ascii="Times New Roman" w:hAnsi="Times New Roman" w:cs="Times New Roman"/>
          <w:bCs/>
          <w:sz w:val="24"/>
          <w:szCs w:val="24"/>
        </w:rPr>
        <w:t>Judicial de San José</w:t>
      </w:r>
      <w:r w:rsidR="005A2F6D">
        <w:rPr>
          <w:rFonts w:ascii="Times New Roman" w:hAnsi="Times New Roman" w:cs="Times New Roman"/>
          <w:bCs/>
          <w:sz w:val="24"/>
          <w:szCs w:val="24"/>
        </w:rPr>
        <w:t xml:space="preserve">, </w:t>
      </w:r>
      <w:r w:rsidRPr="00A20C3C">
        <w:rPr>
          <w:rFonts w:ascii="Times New Roman" w:eastAsia="Calibri" w:hAnsi="Times New Roman" w:cs="Times New Roman"/>
          <w:bCs/>
          <w:sz w:val="24"/>
          <w:szCs w:val="24"/>
        </w:rPr>
        <w:t>en el período 2018-2019.</w:t>
      </w:r>
    </w:p>
    <w:p w14:paraId="65739D0D" w14:textId="3492C075" w:rsidR="00E10342" w:rsidRDefault="00D31DDB" w:rsidP="003B5F1C">
      <w:pPr>
        <w:pStyle w:val="Ttulo3"/>
      </w:pPr>
      <w:bookmarkStart w:id="127" w:name="__RefHeading__27461_1894434827"/>
      <w:bookmarkStart w:id="128" w:name="_Toc61276982"/>
      <w:bookmarkStart w:id="129" w:name="_Toc45205389"/>
      <w:bookmarkStart w:id="130" w:name="_Toc62463330"/>
      <w:bookmarkStart w:id="131" w:name="_Toc62476066"/>
      <w:bookmarkStart w:id="132" w:name="_Toc62476273"/>
      <w:bookmarkStart w:id="133" w:name="_Toc63688939"/>
      <w:r>
        <w:t>2.2.2 Objetivos Específicos</w:t>
      </w:r>
      <w:bookmarkEnd w:id="127"/>
      <w:bookmarkEnd w:id="128"/>
      <w:bookmarkEnd w:id="129"/>
      <w:bookmarkEnd w:id="130"/>
      <w:bookmarkEnd w:id="131"/>
      <w:bookmarkEnd w:id="132"/>
      <w:bookmarkEnd w:id="133"/>
    </w:p>
    <w:p w14:paraId="4D36A4E6" w14:textId="77777777" w:rsidR="00E10342" w:rsidRDefault="00D31DDB" w:rsidP="00B01CBD">
      <w:pPr>
        <w:pStyle w:val="Prrafodelista"/>
        <w:numPr>
          <w:ilvl w:val="0"/>
          <w:numId w:val="25"/>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Describir las características de la violencia intrafamiliar que presentan las mujeres víctimas en el Juzgado Contra la Violencia Doméstica del II Circuito Judicial de San José.</w:t>
      </w:r>
    </w:p>
    <w:p w14:paraId="4460E911" w14:textId="77777777" w:rsidR="00E10342" w:rsidRDefault="00D31DDB" w:rsidP="00B01CBD">
      <w:pPr>
        <w:pStyle w:val="Prrafodelista"/>
        <w:numPr>
          <w:ilvl w:val="0"/>
          <w:numId w:val="1"/>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Identificar en los expedientes judiciales la vulnerabilidad cognitiva en víctimas de violencia intrafamiliar en el Juzgado Contra la Violencia Doméstica del II Circuito Judicial de San José.</w:t>
      </w:r>
    </w:p>
    <w:p w14:paraId="54D9FF06" w14:textId="77777777" w:rsidR="00E10342" w:rsidRDefault="00D31DDB" w:rsidP="00B01CBD">
      <w:pPr>
        <w:pStyle w:val="Prrafodelista"/>
        <w:numPr>
          <w:ilvl w:val="0"/>
          <w:numId w:val="1"/>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Examinar el abordaje de la vulnerabilidad cognitiva en mujer víctimas de violencia intrafamiliar en el Juzgado de Violencia Doméstica del II Circuito Judicial de San José en el período 2018-2019, II Circuito Judicial de San José.</w:t>
      </w:r>
    </w:p>
    <w:p w14:paraId="5E9648D1" w14:textId="77777777" w:rsidR="00B01CBD" w:rsidRDefault="00B01CBD" w:rsidP="00B01CBD">
      <w:pPr>
        <w:pStyle w:val="Ttulo1"/>
        <w:jc w:val="left"/>
        <w:rPr>
          <w:szCs w:val="28"/>
        </w:rPr>
        <w:sectPr w:rsidR="00B01CBD" w:rsidSect="00333D21">
          <w:pgSz w:w="12240" w:h="15840"/>
          <w:pgMar w:top="1418" w:right="1418" w:bottom="1418" w:left="1418" w:header="709" w:footer="709" w:gutter="680"/>
          <w:cols w:space="720"/>
        </w:sectPr>
      </w:pPr>
      <w:bookmarkStart w:id="134" w:name="_Toc61276983"/>
      <w:bookmarkStart w:id="135" w:name="__RefHeading__27463_1894434827"/>
    </w:p>
    <w:p w14:paraId="4F22F882" w14:textId="344BE4D3" w:rsidR="00E10342" w:rsidRPr="00B01CBD" w:rsidRDefault="00D31DDB" w:rsidP="00B01CBD">
      <w:pPr>
        <w:pStyle w:val="Ttulo1"/>
      </w:pPr>
      <w:bookmarkStart w:id="136" w:name="_Toc62463331"/>
      <w:bookmarkStart w:id="137" w:name="_Toc62476067"/>
      <w:bookmarkStart w:id="138" w:name="_Toc62476274"/>
      <w:bookmarkStart w:id="139" w:name="_Toc63688940"/>
      <w:r w:rsidRPr="00B01CBD">
        <w:lastRenderedPageBreak/>
        <w:t>Capítulo III</w:t>
      </w:r>
      <w:bookmarkEnd w:id="134"/>
      <w:bookmarkEnd w:id="135"/>
      <w:bookmarkEnd w:id="136"/>
      <w:bookmarkEnd w:id="137"/>
      <w:bookmarkEnd w:id="138"/>
      <w:bookmarkEnd w:id="139"/>
    </w:p>
    <w:p w14:paraId="0BA4723D" w14:textId="7054A57E" w:rsidR="00E10342" w:rsidRPr="00B01CBD" w:rsidRDefault="00D31DDB" w:rsidP="00B01CBD">
      <w:pPr>
        <w:pStyle w:val="Ttulo1"/>
      </w:pPr>
      <w:bookmarkStart w:id="140" w:name="__RefHeading__27465_1894434827"/>
      <w:bookmarkStart w:id="141" w:name="_Toc61276984"/>
      <w:bookmarkStart w:id="142" w:name="_Toc62463332"/>
      <w:bookmarkStart w:id="143" w:name="_Toc62476068"/>
      <w:bookmarkStart w:id="144" w:name="_Toc62476275"/>
      <w:bookmarkStart w:id="145" w:name="_Toc63688941"/>
      <w:r w:rsidRPr="00B01CBD">
        <w:t xml:space="preserve">Marco </w:t>
      </w:r>
      <w:bookmarkEnd w:id="140"/>
      <w:bookmarkEnd w:id="141"/>
      <w:r w:rsidR="00B01CBD" w:rsidRPr="00B01CBD">
        <w:t>teórico</w:t>
      </w:r>
      <w:bookmarkEnd w:id="142"/>
      <w:bookmarkEnd w:id="143"/>
      <w:bookmarkEnd w:id="144"/>
      <w:bookmarkEnd w:id="145"/>
    </w:p>
    <w:p w14:paraId="4C1D46AD" w14:textId="1016859E" w:rsidR="00E10342" w:rsidRDefault="00D31DDB" w:rsidP="0095499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Dentro del presente apartado, se hace una caracterización de las distintas teorías que orientan y permiten tener una visión amplia del fenómeno en estudio. Asimismo, esta sección se ordena a partir de que el ser humano posee múltiples habilidades desarrolladas en el cerebro, las cuales pueden ser afectadas ante la presencia de violencia intrafamiliar (V. I.).</w:t>
      </w:r>
    </w:p>
    <w:p w14:paraId="1A2D42ED" w14:textId="77777777" w:rsidR="00E10342" w:rsidRDefault="00D31DDB" w:rsidP="0095499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Esta perspectiva crea la base sobre la cual se guío el análisis teórico, por medio de categorías como habilidades, vulnerabilidad, violencia de género, tipos de V. I., ciclos de la violencia doméstica (V. D.) así como la existencia de normativa, internacional y nacional, para su protección. Además, muestra una realidad en la cual la mujer se ve sumergida socialmente por una dominación masculina que hace que la cognición tienda a vulnerarse ante las múltiples manifestaciones patriarcales imperantes.</w:t>
      </w:r>
    </w:p>
    <w:p w14:paraId="5ACB7249" w14:textId="59A4851A" w:rsidR="00E10342" w:rsidRPr="00B01CBD" w:rsidRDefault="00B01CBD" w:rsidP="00B01CBD">
      <w:pPr>
        <w:pStyle w:val="Ttulo2"/>
      </w:pPr>
      <w:bookmarkStart w:id="146" w:name="_Toc62463333"/>
      <w:bookmarkStart w:id="147" w:name="_Toc62476069"/>
      <w:bookmarkStart w:id="148" w:name="_Toc62476276"/>
      <w:bookmarkStart w:id="149" w:name="_Toc63688942"/>
      <w:r w:rsidRPr="00B01CBD">
        <w:t>3.</w:t>
      </w:r>
      <w:bookmarkStart w:id="150" w:name="_Toc61276985"/>
      <w:r w:rsidRPr="00B01CBD">
        <w:rPr>
          <w:rFonts w:eastAsia="SimSun"/>
        </w:rPr>
        <w:t>1. Violencia intrafamiliar: mujer desde la perspectiva de género</w:t>
      </w:r>
      <w:bookmarkEnd w:id="146"/>
      <w:bookmarkEnd w:id="147"/>
      <w:bookmarkEnd w:id="148"/>
      <w:bookmarkEnd w:id="149"/>
      <w:bookmarkEnd w:id="150"/>
    </w:p>
    <w:p w14:paraId="08CEFA80" w14:textId="3F74B4B1" w:rsidR="00E10342" w:rsidRDefault="00D31DDB" w:rsidP="00B01CBD">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El vocablo V. I. ayuda a entender que este fenómeno de la violencia posee diversas manifestaciones y se caracteriza por ser cíclica, ser secuela de la violencia de género producto del constructo social mediante el cual se le asignan al hombre y a la mujer roles según el sexo biológico.</w:t>
      </w:r>
    </w:p>
    <w:p w14:paraId="076CA42B" w14:textId="4E571C3A" w:rsidR="00E10342" w:rsidRPr="00B01CBD" w:rsidRDefault="00735550" w:rsidP="00B01CBD">
      <w:pPr>
        <w:pStyle w:val="Ttulo2"/>
      </w:pPr>
      <w:bookmarkStart w:id="151" w:name="_Toc62463334"/>
      <w:bookmarkStart w:id="152" w:name="_Toc62476070"/>
      <w:bookmarkStart w:id="153" w:name="_Toc62476277"/>
      <w:bookmarkStart w:id="154" w:name="_Toc63688943"/>
      <w:r w:rsidRPr="00B01CBD">
        <w:t>3.</w:t>
      </w:r>
      <w:r w:rsidR="00D31DDB" w:rsidRPr="00B01CBD">
        <w:t xml:space="preserve">2. </w:t>
      </w:r>
      <w:r w:rsidR="00D31DDB" w:rsidRPr="00B01CBD">
        <w:rPr>
          <w:rFonts w:eastAsia="SimSun"/>
        </w:rPr>
        <w:t>Cerebro</w:t>
      </w:r>
      <w:bookmarkEnd w:id="151"/>
      <w:bookmarkEnd w:id="152"/>
      <w:bookmarkEnd w:id="153"/>
      <w:bookmarkEnd w:id="154"/>
    </w:p>
    <w:p w14:paraId="6DE2CAC7" w14:textId="08551A07" w:rsidR="00E10342" w:rsidRDefault="00D31DDB" w:rsidP="00B01CBD">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El cerebro es el órgano humano en que ocurre el aprendizaje. Procesa, registra, conserva y evoca la información, entre otras cosas, para que, a partir de este conocimiento, pueda mejorar las propuestas y experiencias de aprendizaje. Es importante destacar que el ser humano no solo se encuentra dotado de habilidades cognitivas, de razón, sino que posee habilidades emocionales, sociales, morales, físicas y espirituales. De ahí que se considere al cerebro el órgano transformador desde la neurociencia (Campos, 2010). El aporte de este concepto en el presente trabajo radica en comprender que el cerebro es el centro de procesamiento de la información en el ser humano y que, sin su incorporación, resulta imposible conocer sobre las habilidades existentes y los efectos de la V. I.</w:t>
      </w:r>
    </w:p>
    <w:p w14:paraId="3F0FF4D9" w14:textId="365E2B96" w:rsidR="00E10342" w:rsidRPr="00B01CBD" w:rsidRDefault="00735550" w:rsidP="00B01CBD">
      <w:pPr>
        <w:pStyle w:val="Ttulo2"/>
      </w:pPr>
      <w:bookmarkStart w:id="155" w:name="_Toc61276986"/>
      <w:bookmarkStart w:id="156" w:name="_Toc62463335"/>
      <w:bookmarkStart w:id="157" w:name="_Toc62476071"/>
      <w:bookmarkStart w:id="158" w:name="_Toc62476278"/>
      <w:bookmarkStart w:id="159" w:name="_Toc63688944"/>
      <w:r w:rsidRPr="003B5F1C">
        <w:t>3.</w:t>
      </w:r>
      <w:r w:rsidR="00D31DDB" w:rsidRPr="003B5F1C">
        <w:t>3. Habilidades</w:t>
      </w:r>
      <w:bookmarkEnd w:id="155"/>
      <w:bookmarkEnd w:id="156"/>
      <w:bookmarkEnd w:id="157"/>
      <w:bookmarkEnd w:id="158"/>
      <w:bookmarkEnd w:id="159"/>
    </w:p>
    <w:p w14:paraId="623110AE" w14:textId="22D61BD9" w:rsidR="00E10342" w:rsidRDefault="00D31DDB" w:rsidP="00B01CBD">
      <w:pPr>
        <w:pStyle w:val="Standard"/>
        <w:spacing w:after="0" w:line="360" w:lineRule="auto"/>
        <w:ind w:firstLine="709"/>
        <w:jc w:val="both"/>
      </w:pPr>
      <w:r>
        <w:rPr>
          <w:rFonts w:ascii="Times New Roman" w:hAnsi="Times New Roman" w:cs="Times New Roman"/>
          <w:bCs/>
          <w:sz w:val="24"/>
          <w:szCs w:val="24"/>
        </w:rPr>
        <w:t xml:space="preserve">Para la OMS (1993) las habilidades son todo aquello que tiene que ver con la manera en que los seres humanos manejamos las relaciones con nosotros mismos, con las demás </w:t>
      </w:r>
      <w:r>
        <w:rPr>
          <w:rFonts w:ascii="Times New Roman" w:hAnsi="Times New Roman" w:cs="Times New Roman"/>
          <w:bCs/>
          <w:sz w:val="24"/>
          <w:szCs w:val="24"/>
        </w:rPr>
        <w:lastRenderedPageBreak/>
        <w:t>personas y el entorno social. De ahí que esta organización internacional lanzara la</w:t>
      </w:r>
      <w:r w:rsidR="00D72101">
        <w:rPr>
          <w:rFonts w:ascii="Times New Roman" w:hAnsi="Times New Roman" w:cs="Times New Roman"/>
          <w:bCs/>
          <w:sz w:val="24"/>
          <w:szCs w:val="24"/>
        </w:rPr>
        <w:t xml:space="preserve"> </w:t>
      </w:r>
      <w:r>
        <w:rPr>
          <w:rFonts w:ascii="Times New Roman" w:hAnsi="Times New Roman" w:cs="Times New Roman"/>
          <w:bCs/>
          <w:sz w:val="24"/>
          <w:szCs w:val="24"/>
        </w:rPr>
        <w:t>Iniciativa Internacional para la Vida en las Escuelas (</w:t>
      </w:r>
      <w:proofErr w:type="spellStart"/>
      <w:r>
        <w:rPr>
          <w:rFonts w:ascii="Times New Roman" w:hAnsi="Times New Roman" w:cs="Times New Roman"/>
          <w:bCs/>
          <w:i/>
          <w:sz w:val="24"/>
          <w:szCs w:val="24"/>
        </w:rPr>
        <w:t>Life</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Skills</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Education</w:t>
      </w:r>
      <w:proofErr w:type="spellEnd"/>
      <w:r>
        <w:rPr>
          <w:rFonts w:ascii="Times New Roman" w:hAnsi="Times New Roman" w:cs="Times New Roman"/>
          <w:bCs/>
          <w:i/>
          <w:sz w:val="24"/>
          <w:szCs w:val="24"/>
        </w:rPr>
        <w:t xml:space="preserve"> in </w:t>
      </w:r>
      <w:proofErr w:type="spellStart"/>
      <w:r>
        <w:rPr>
          <w:rFonts w:ascii="Times New Roman" w:hAnsi="Times New Roman" w:cs="Times New Roman"/>
          <w:bCs/>
          <w:i/>
          <w:sz w:val="24"/>
          <w:szCs w:val="24"/>
        </w:rPr>
        <w:t>Schools</w:t>
      </w:r>
      <w:proofErr w:type="spellEnd"/>
      <w:r>
        <w:rPr>
          <w:rFonts w:ascii="Times New Roman" w:hAnsi="Times New Roman" w:cs="Times New Roman"/>
          <w:bCs/>
          <w:sz w:val="24"/>
          <w:szCs w:val="24"/>
        </w:rPr>
        <w:t>), por medio de la División de Salud Mental, en aras de difundir mundialmente la enseñanza de diez destrezas psicosociales, relevantes para la promoción de las competencias de ese mismo orden (Martínez, 2014, pp. 61-89.). La importancia de este concepto para esta investigación radica en saber que el ser humano posee múltiples habilidades que le facilitan la interrelación con su entorno, consigo mismo y su afectación en caso de experimentar V. I.</w:t>
      </w:r>
    </w:p>
    <w:p w14:paraId="0F59D9FA" w14:textId="7A3CB083" w:rsidR="00E10342" w:rsidRDefault="00D31DDB" w:rsidP="00B01CBD">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Los tipos de habilidades en el ser humano, desde la OMS, se identifican en Horno (1993), como sigue:</w:t>
      </w:r>
    </w:p>
    <w:p w14:paraId="050BFB7B" w14:textId="77777777" w:rsidR="00E10342" w:rsidRDefault="00D31DDB" w:rsidP="00B01CBD">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 Autoconocimiento, solución de problemas y conflictos: conocerse, saber qué se quiere de la vida y conocer los recursos personales, así como sociales: ver hacia adentro, el afecto, el apoyo, con lo que se cuenta para lograr el objetivo o en momentos de adversidad. Soporte y motor de la identidad, así como de comportarse con autonomía.</w:t>
      </w:r>
    </w:p>
    <w:p w14:paraId="37BB3EE1" w14:textId="77777777" w:rsidR="00E10342" w:rsidRDefault="00D31DDB" w:rsidP="00B01CBD">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b. Empatía: “ponerse en la piel” de la otra persona para lograr comprenderla mejor y ser solidaria en las circunstancias. Resulta ser una capacidad innata de las personas, aunque debe desarrollarse y para ello ejercitarla en la práctica. Hace que las personas sean tolerantes en las interacciones sociales.</w:t>
      </w:r>
    </w:p>
    <w:p w14:paraId="25680320" w14:textId="2956C87C" w:rsidR="00E10342" w:rsidRDefault="00D31DDB" w:rsidP="00B01CBD">
      <w:pPr>
        <w:pStyle w:val="Standard"/>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c. Comunicación asertiva:</w:t>
      </w:r>
      <w:r w:rsidR="005F159A">
        <w:rPr>
          <w:rFonts w:ascii="Times New Roman" w:hAnsi="Times New Roman" w:cs="Times New Roman"/>
          <w:sz w:val="24"/>
          <w:szCs w:val="24"/>
        </w:rPr>
        <w:t xml:space="preserve"> </w:t>
      </w:r>
      <w:r>
        <w:rPr>
          <w:rFonts w:ascii="Times New Roman" w:hAnsi="Times New Roman" w:cs="Times New Roman"/>
          <w:sz w:val="24"/>
          <w:szCs w:val="24"/>
        </w:rPr>
        <w:t>expresar de forma clara lo que piensa, siente o necesita tomando en cuenta los derechos, sentimientos y valores de los demás, y ayudar a abordar conflictos.</w:t>
      </w:r>
    </w:p>
    <w:p w14:paraId="224C9DBF" w14:textId="6A121119" w:rsidR="00E10342" w:rsidRDefault="00D31DDB" w:rsidP="00B01CBD">
      <w:pPr>
        <w:pStyle w:val="Standard"/>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d. Relaciones interpersonales: es con esta habilidad con la que se logra iniciar, mantener o terminar una relación y, además, es la habilidad con la cual se aprende a relacionarse con los demás de forma diaria, </w:t>
      </w:r>
      <w:r w:rsidR="00C75A2B">
        <w:rPr>
          <w:rFonts w:ascii="Times New Roman" w:hAnsi="Times New Roman" w:cs="Times New Roman"/>
          <w:sz w:val="24"/>
          <w:szCs w:val="24"/>
        </w:rPr>
        <w:t>como,</w:t>
      </w:r>
      <w:r>
        <w:rPr>
          <w:rFonts w:ascii="Times New Roman" w:hAnsi="Times New Roman" w:cs="Times New Roman"/>
          <w:sz w:val="24"/>
          <w:szCs w:val="24"/>
        </w:rPr>
        <w:t xml:space="preserve"> por ejemplo, en el trabajo o en la escuela.</w:t>
      </w:r>
    </w:p>
    <w:p w14:paraId="704C67EC" w14:textId="77777777" w:rsidR="00E10342" w:rsidRDefault="00D31DDB" w:rsidP="00B01CBD">
      <w:pPr>
        <w:pStyle w:val="uk-text-justify"/>
        <w:shd w:val="clear" w:color="auto" w:fill="FFFFFF"/>
        <w:spacing w:before="0" w:after="0" w:line="360" w:lineRule="auto"/>
        <w:ind w:firstLine="709"/>
        <w:jc w:val="both"/>
        <w:rPr>
          <w:bCs/>
        </w:rPr>
      </w:pPr>
      <w:r>
        <w:rPr>
          <w:bCs/>
        </w:rPr>
        <w:t>e. Toma de decisiones: significa hacer que las cosas sucedan y no dejar que ocurran por azar o por factores externos. Tomar decisiones teniendo varias alternativas, considerando necesidades, criterios y las consecuencias tanto en la vida propia como en la de terceros.</w:t>
      </w:r>
    </w:p>
    <w:p w14:paraId="3E3BCA23" w14:textId="77777777" w:rsidR="00E10342" w:rsidRDefault="00D31DDB" w:rsidP="00B01CBD">
      <w:pPr>
        <w:pStyle w:val="uk-text-justify"/>
        <w:shd w:val="clear" w:color="auto" w:fill="FFFFFF"/>
        <w:spacing w:before="0" w:after="0" w:line="360" w:lineRule="auto"/>
        <w:ind w:firstLine="709"/>
        <w:jc w:val="both"/>
      </w:pPr>
      <w:r>
        <w:t>f. Solución de problemas y conflictos: manejar los problemas y conflictos de la vida diaria de forma flexible y creativa como oportunidades de cambio y crecimiento social y personal</w:t>
      </w:r>
      <w:r>
        <w:rPr>
          <w:rStyle w:val="tr"/>
          <w:bCs/>
        </w:rPr>
        <w:t>.</w:t>
      </w:r>
    </w:p>
    <w:p w14:paraId="16C66EDE" w14:textId="5D7CA25C" w:rsidR="00E10342" w:rsidRDefault="00D31DDB" w:rsidP="00B01CBD">
      <w:pPr>
        <w:pStyle w:val="uk-text-justify"/>
        <w:shd w:val="clear" w:color="auto" w:fill="FFFFFF"/>
        <w:spacing w:before="0" w:after="0" w:line="360" w:lineRule="auto"/>
        <w:ind w:firstLine="709"/>
        <w:jc w:val="both"/>
      </w:pPr>
      <w:r>
        <w:rPr>
          <w:bCs/>
        </w:rPr>
        <w:lastRenderedPageBreak/>
        <w:t xml:space="preserve">g. Pensamiento creativo: Capacidad de inventar algo nuevo, </w:t>
      </w:r>
      <w:proofErr w:type="spellStart"/>
      <w:proofErr w:type="gramStart"/>
      <w:r>
        <w:rPr>
          <w:bCs/>
        </w:rPr>
        <w:t>re-inventar</w:t>
      </w:r>
      <w:proofErr w:type="spellEnd"/>
      <w:proofErr w:type="gramEnd"/>
      <w:r>
        <w:rPr>
          <w:bCs/>
        </w:rPr>
        <w:t xml:space="preserve"> así como de apartarse de pensamientos o esquemas de pensamiento habituales</w:t>
      </w:r>
      <w:r w:rsidR="005F159A">
        <w:rPr>
          <w:bCs/>
        </w:rPr>
        <w:t xml:space="preserve"> </w:t>
      </w:r>
    </w:p>
    <w:p w14:paraId="5597FF6E" w14:textId="77777777" w:rsidR="00E10342" w:rsidRDefault="00D31DDB" w:rsidP="00B01CBD">
      <w:pPr>
        <w:pStyle w:val="uk-text-justify"/>
        <w:shd w:val="clear" w:color="auto" w:fill="FFFFFF"/>
        <w:spacing w:before="0" w:after="0" w:line="360" w:lineRule="auto"/>
        <w:ind w:firstLine="709"/>
        <w:jc w:val="both"/>
      </w:pPr>
      <w:r>
        <w:rPr>
          <w:bCs/>
        </w:rPr>
        <w:t>h. Pensamiento crítico: significa pensar con un propósito, demostrar una idea, interpretar el significado de algo, solucionar un problema. Analizar objetivamente y</w:t>
      </w:r>
      <w:r>
        <w:rPr>
          <w:rStyle w:val="tr"/>
          <w:bCs/>
        </w:rPr>
        <w:t xml:space="preserve"> llegar a conclusiones propias sobre la realidad.</w:t>
      </w:r>
    </w:p>
    <w:p w14:paraId="432F156C" w14:textId="350B9B32" w:rsidR="00E10342" w:rsidRDefault="00D31DDB" w:rsidP="00B01CBD">
      <w:pPr>
        <w:pStyle w:val="uk-text-justify"/>
        <w:shd w:val="clear" w:color="auto" w:fill="FFFFFF"/>
        <w:spacing w:before="0" w:after="0" w:line="360" w:lineRule="auto"/>
        <w:ind w:firstLine="709"/>
        <w:jc w:val="both"/>
      </w:pPr>
      <w:r>
        <w:rPr>
          <w:bCs/>
        </w:rPr>
        <w:t xml:space="preserve"> i. </w:t>
      </w:r>
      <w:r>
        <w:t>Manejo de emociones y sentimientos: aprender a navegar en el mundo de las emociones propias y ajenas. Lograr separar y discernir si el mundo afectivo-emocional está siendo distorsionado de forma alguna por la razón, los perjuicios, los temores.</w:t>
      </w:r>
      <w:r w:rsidR="005F159A">
        <w:t xml:space="preserve"> </w:t>
      </w:r>
    </w:p>
    <w:p w14:paraId="726A4110" w14:textId="63DE3D5F" w:rsidR="00E10342" w:rsidRDefault="00D31DDB" w:rsidP="00B01CBD">
      <w:pPr>
        <w:pStyle w:val="uk-text-justify"/>
        <w:shd w:val="clear" w:color="auto" w:fill="FFFFFF"/>
        <w:spacing w:before="0" w:after="0" w:line="360" w:lineRule="auto"/>
        <w:ind w:firstLine="709"/>
        <w:jc w:val="both"/>
      </w:pPr>
      <w:r>
        <w:rPr>
          <w:bCs/>
        </w:rPr>
        <w:t>j. </w:t>
      </w:r>
      <w:r>
        <w:t>Manejo de tensiones y estrés: identificar las fuentes de estrés cotidiano y sus manifestaciones, así como las formas de eliminarlo o contrarrestarlo de manera saludable. El estrés forma parte de la vida y ante diversos estímulos se activa de forma automática: hay aumento de frecuencia cardiaca y respiratoria, presión arterial, metabolismo, así como el flujo de sangre hacia los músculos.</w:t>
      </w:r>
    </w:p>
    <w:p w14:paraId="714EED0F" w14:textId="60F4A39A" w:rsidR="00E10342" w:rsidRPr="003B5F1C" w:rsidRDefault="00D31DDB" w:rsidP="003B5F1C">
      <w:pPr>
        <w:pStyle w:val="Ttulo2"/>
      </w:pPr>
      <w:bookmarkStart w:id="160" w:name="_Toc61276987"/>
      <w:bookmarkStart w:id="161" w:name="_Toc62463336"/>
      <w:bookmarkStart w:id="162" w:name="_Toc62476072"/>
      <w:bookmarkStart w:id="163" w:name="_Toc62476279"/>
      <w:bookmarkStart w:id="164" w:name="_Toc63688945"/>
      <w:r w:rsidRPr="003B5F1C">
        <w:t>3.</w:t>
      </w:r>
      <w:r w:rsidR="00735550" w:rsidRPr="003B5F1C">
        <w:t>4</w:t>
      </w:r>
      <w:r w:rsidRPr="003B5F1C">
        <w:t xml:space="preserve"> Habilidades Cognitivas</w:t>
      </w:r>
      <w:bookmarkEnd w:id="160"/>
      <w:bookmarkEnd w:id="161"/>
      <w:bookmarkEnd w:id="162"/>
      <w:bookmarkEnd w:id="163"/>
      <w:bookmarkEnd w:id="164"/>
    </w:p>
    <w:p w14:paraId="7BE95666" w14:textId="77777777" w:rsidR="00E10342" w:rsidRDefault="00D31DDB" w:rsidP="00B01CBD">
      <w:pPr>
        <w:pStyle w:val="uk-text-justify"/>
        <w:shd w:val="clear" w:color="auto" w:fill="FFFFFF"/>
        <w:spacing w:before="0" w:after="0" w:line="360" w:lineRule="auto"/>
        <w:ind w:firstLine="709"/>
        <w:jc w:val="both"/>
      </w:pPr>
      <w:r>
        <w:rPr>
          <w:rStyle w:val="tr"/>
          <w:bCs/>
        </w:rPr>
        <w:t>Hacen alusión al procesamiento de la información y este conforma la atención, la percepción, la memoria, la resolución de problemas, la comprensión y las analogías (Tejeda, 2005). Este concepto aportará a la presente investigación la información requerida para comprender que las habilidades cognitivas son varias y que no permanecen intactas ante la presencia de agentes externos que provoquen V. I. en las personas.</w:t>
      </w:r>
    </w:p>
    <w:p w14:paraId="61D9EA38" w14:textId="2B6C6947" w:rsidR="00E10342" w:rsidRPr="00B01CBD" w:rsidRDefault="00D31DDB" w:rsidP="00B01CBD">
      <w:pPr>
        <w:pStyle w:val="Ttulo2"/>
      </w:pPr>
      <w:bookmarkStart w:id="165" w:name="_Toc61276988"/>
      <w:bookmarkStart w:id="166" w:name="_Toc62463337"/>
      <w:bookmarkStart w:id="167" w:name="_Toc62476073"/>
      <w:bookmarkStart w:id="168" w:name="_Toc62476280"/>
      <w:bookmarkStart w:id="169" w:name="_Toc63688946"/>
      <w:r w:rsidRPr="003B5F1C">
        <w:t>3.</w:t>
      </w:r>
      <w:r w:rsidR="00735550" w:rsidRPr="003B5F1C">
        <w:t>5</w:t>
      </w:r>
      <w:r w:rsidRPr="003B5F1C">
        <w:t xml:space="preserve"> Vulnerabilidad</w:t>
      </w:r>
      <w:bookmarkEnd w:id="165"/>
      <w:bookmarkEnd w:id="166"/>
      <w:bookmarkEnd w:id="167"/>
      <w:bookmarkEnd w:id="168"/>
      <w:bookmarkEnd w:id="169"/>
    </w:p>
    <w:p w14:paraId="7FFB5289" w14:textId="77777777" w:rsidR="00E10342" w:rsidRDefault="00D31DDB" w:rsidP="003B5F1C">
      <w:pPr>
        <w:pStyle w:val="uk-text-justify"/>
        <w:shd w:val="clear" w:color="auto" w:fill="FFFFFF"/>
        <w:spacing w:before="0" w:after="0" w:line="360" w:lineRule="auto"/>
        <w:ind w:firstLine="709"/>
        <w:jc w:val="both"/>
      </w:pPr>
      <w:r w:rsidRPr="003B5F1C">
        <w:rPr>
          <w:bCs/>
        </w:rPr>
        <w:t xml:space="preserve">Hace referencia a la posibilidad del daño, a la finitud y a la condición mortal del ser humano. De ahí la relevancia de su incorporación a la presente investigación, ya que da a conocer que existen momentos en la vida de las personas, así como segmentos de población que pueden verse inmersos en estado de posible daño por otro grupo social o poblacional, una situación o condición, y que no existe un solo tipo de vulnerabilidad. Se habla de dos dimensiones: vulnerabilidad antropológica y de vulnerabilidad sociopolítica, según refiere </w:t>
      </w:r>
      <w:bookmarkStart w:id="170" w:name="_Hlk46703263"/>
      <w:proofErr w:type="spellStart"/>
      <w:r w:rsidRPr="003B5F1C">
        <w:rPr>
          <w:bCs/>
        </w:rPr>
        <w:t>Feito</w:t>
      </w:r>
      <w:proofErr w:type="spellEnd"/>
      <w:r w:rsidRPr="003B5F1C">
        <w:rPr>
          <w:bCs/>
        </w:rPr>
        <w:t xml:space="preserve"> (2007).</w:t>
      </w:r>
    </w:p>
    <w:p w14:paraId="679A5D0F" w14:textId="1C93B10B" w:rsidR="00E10342" w:rsidRPr="003B5F1C" w:rsidRDefault="00D31DDB" w:rsidP="003B5F1C">
      <w:pPr>
        <w:pStyle w:val="Ttulo3"/>
      </w:pPr>
      <w:bookmarkStart w:id="171" w:name="_Toc62463338"/>
      <w:bookmarkStart w:id="172" w:name="_Toc62476074"/>
      <w:bookmarkStart w:id="173" w:name="_Toc62476281"/>
      <w:bookmarkStart w:id="174" w:name="_Toc63688947"/>
      <w:bookmarkEnd w:id="170"/>
      <w:r w:rsidRPr="003B5F1C">
        <w:t>3.</w:t>
      </w:r>
      <w:r w:rsidR="00735550" w:rsidRPr="003B5F1C">
        <w:t>5</w:t>
      </w:r>
      <w:r w:rsidRPr="003B5F1C">
        <w:t xml:space="preserve">.1 </w:t>
      </w:r>
      <w:bookmarkStart w:id="175" w:name="_Toc61276989"/>
      <w:r w:rsidRPr="003B5F1C">
        <w:t>Tipos de Vulnerabilidad</w:t>
      </w:r>
      <w:bookmarkEnd w:id="171"/>
      <w:bookmarkEnd w:id="172"/>
      <w:bookmarkEnd w:id="173"/>
      <w:bookmarkEnd w:id="174"/>
      <w:bookmarkEnd w:id="175"/>
    </w:p>
    <w:p w14:paraId="27F0FC11" w14:textId="4A50A8A2" w:rsidR="00E10342" w:rsidRDefault="00C75A2B" w:rsidP="003B5F1C">
      <w:pPr>
        <w:pStyle w:val="uk-text-justify"/>
        <w:shd w:val="clear" w:color="auto" w:fill="FFFFFF"/>
        <w:spacing w:before="0" w:after="0" w:line="360" w:lineRule="auto"/>
        <w:ind w:firstLine="709"/>
        <w:jc w:val="both"/>
      </w:pPr>
      <w:r>
        <w:t>La vulnerabilidad se puede subdividir en los siguientes</w:t>
      </w:r>
      <w:r w:rsidR="00704759">
        <w:t>:</w:t>
      </w:r>
    </w:p>
    <w:p w14:paraId="6302D611" w14:textId="1B1FDA06" w:rsidR="00E10342" w:rsidRDefault="00D31DDB" w:rsidP="003B5F1C">
      <w:pPr>
        <w:pStyle w:val="uk-text-justify"/>
        <w:numPr>
          <w:ilvl w:val="0"/>
          <w:numId w:val="26"/>
        </w:numPr>
        <w:shd w:val="clear" w:color="auto" w:fill="FFFFFF"/>
        <w:tabs>
          <w:tab w:val="left" w:pos="993"/>
        </w:tabs>
        <w:spacing w:before="0" w:after="0" w:line="360" w:lineRule="auto"/>
        <w:ind w:left="0" w:firstLine="709"/>
        <w:jc w:val="both"/>
      </w:pPr>
      <w:r>
        <w:rPr>
          <w:rStyle w:val="tr"/>
          <w:bCs/>
        </w:rPr>
        <w:t>Vulnerabilidad antropológica: hace alusión a la condición de fragilidad propia e intrínseca al ser humano, por su ser biológico y psíquico.</w:t>
      </w:r>
      <w:r w:rsidR="001768B3">
        <w:rPr>
          <w:bCs/>
        </w:rPr>
        <w:t xml:space="preserve"> </w:t>
      </w:r>
      <w:proofErr w:type="spellStart"/>
      <w:r w:rsidR="001768B3">
        <w:rPr>
          <w:bCs/>
        </w:rPr>
        <w:t>Feito</w:t>
      </w:r>
      <w:proofErr w:type="spellEnd"/>
      <w:r w:rsidR="001768B3">
        <w:rPr>
          <w:bCs/>
        </w:rPr>
        <w:t>,</w:t>
      </w:r>
      <w:r>
        <w:rPr>
          <w:bCs/>
        </w:rPr>
        <w:t xml:space="preserve"> (2007).</w:t>
      </w:r>
    </w:p>
    <w:p w14:paraId="7EDB255C" w14:textId="2A8732D9" w:rsidR="00E10342" w:rsidRDefault="00D31DDB" w:rsidP="003B5F1C">
      <w:pPr>
        <w:pStyle w:val="uk-text-justify"/>
        <w:numPr>
          <w:ilvl w:val="0"/>
          <w:numId w:val="13"/>
        </w:numPr>
        <w:shd w:val="clear" w:color="auto" w:fill="FFFFFF"/>
        <w:tabs>
          <w:tab w:val="left" w:pos="993"/>
        </w:tabs>
        <w:spacing w:before="0" w:after="0" w:line="360" w:lineRule="auto"/>
        <w:ind w:left="0" w:firstLine="709"/>
        <w:jc w:val="both"/>
      </w:pPr>
      <w:r>
        <w:rPr>
          <w:rStyle w:val="tr"/>
          <w:bCs/>
        </w:rPr>
        <w:lastRenderedPageBreak/>
        <w:t>Vulnerabilidad socio- político: deriva de la pertenencia a un grupo, género, localidad, medio, condición socio económica, cultura, ambiente que convierte en vulnerable a los individuos.</w:t>
      </w:r>
      <w:r w:rsidR="001768B3">
        <w:rPr>
          <w:bCs/>
        </w:rPr>
        <w:t xml:space="preserve"> </w:t>
      </w:r>
      <w:proofErr w:type="spellStart"/>
      <w:r w:rsidR="001768B3">
        <w:rPr>
          <w:bCs/>
        </w:rPr>
        <w:t>Feito</w:t>
      </w:r>
      <w:proofErr w:type="spellEnd"/>
      <w:r w:rsidR="001768B3">
        <w:rPr>
          <w:bCs/>
        </w:rPr>
        <w:t>,</w:t>
      </w:r>
      <w:r>
        <w:rPr>
          <w:bCs/>
        </w:rPr>
        <w:t xml:space="preserve"> (2007).</w:t>
      </w:r>
    </w:p>
    <w:p w14:paraId="38353CCC" w14:textId="19FD3852" w:rsidR="00E10342" w:rsidRDefault="00D31DDB" w:rsidP="003B5F1C">
      <w:pPr>
        <w:pStyle w:val="uk-text-justify"/>
        <w:shd w:val="clear" w:color="auto" w:fill="FFFFFF"/>
        <w:spacing w:before="0" w:after="0" w:line="360" w:lineRule="auto"/>
        <w:ind w:firstLine="709"/>
        <w:jc w:val="both"/>
      </w:pPr>
      <w:r>
        <w:rPr>
          <w:rStyle w:val="tr"/>
          <w:bCs/>
        </w:rPr>
        <w:t xml:space="preserve">Aportando que el ser humano se compone de parte biológica y </w:t>
      </w:r>
      <w:r w:rsidR="00C75A2B">
        <w:rPr>
          <w:rStyle w:val="tr"/>
          <w:bCs/>
        </w:rPr>
        <w:t>psíquica</w:t>
      </w:r>
      <w:r>
        <w:rPr>
          <w:rStyle w:val="tr"/>
          <w:bCs/>
        </w:rPr>
        <w:t xml:space="preserve"> que ambas son necesarias para su existencia y que además puede verse vulnerado por situaciones externas a estos dos componentes y poner en riesgo su humanidad</w:t>
      </w:r>
    </w:p>
    <w:p w14:paraId="6D6A3A0B" w14:textId="22665F02" w:rsidR="00E10342" w:rsidRPr="003B5F1C" w:rsidRDefault="00D31DDB" w:rsidP="003B5F1C">
      <w:pPr>
        <w:pStyle w:val="Ttulo3"/>
      </w:pPr>
      <w:bookmarkStart w:id="176" w:name="_Toc61276990"/>
      <w:bookmarkStart w:id="177" w:name="_Toc62463339"/>
      <w:bookmarkStart w:id="178" w:name="_Toc62476075"/>
      <w:bookmarkStart w:id="179" w:name="_Toc62476282"/>
      <w:bookmarkStart w:id="180" w:name="_Toc63688948"/>
      <w:r w:rsidRPr="003B5F1C">
        <w:t>3.</w:t>
      </w:r>
      <w:r w:rsidR="00735550" w:rsidRPr="003B5F1C">
        <w:t>5</w:t>
      </w:r>
      <w:r w:rsidRPr="003B5F1C">
        <w:t>.2 Efectos de la Vulnerabilidad Cognitiva</w:t>
      </w:r>
      <w:bookmarkEnd w:id="176"/>
      <w:bookmarkEnd w:id="177"/>
      <w:bookmarkEnd w:id="178"/>
      <w:bookmarkEnd w:id="179"/>
      <w:bookmarkEnd w:id="180"/>
    </w:p>
    <w:p w14:paraId="1F41B355" w14:textId="7BF8FD9A" w:rsidR="00E10342" w:rsidRDefault="00D31DDB" w:rsidP="003B5F1C">
      <w:pPr>
        <w:pStyle w:val="uk-text-justify"/>
        <w:shd w:val="clear" w:color="auto" w:fill="FFFFFF"/>
        <w:spacing w:before="0" w:after="0" w:line="360" w:lineRule="auto"/>
        <w:ind w:firstLine="709"/>
        <w:jc w:val="both"/>
        <w:rPr>
          <w:bCs/>
        </w:rPr>
      </w:pPr>
      <w:r>
        <w:rPr>
          <w:bCs/>
        </w:rPr>
        <w:t>Independientemente del tipo de maltrato hacia la mujer, sea psicológico, físico o de cualquier otro tipo, este trae vulnerabilidad somática, uso de sustancias para evitar la ansiedad (alcohol, drogas, abuso de psicofármacos) y dolor psiquiátrico. Igualmente, conlleva una serie de cogniciones y creencias disfuncionales: vergüenza ante familiares, allegados y la justicia. Las mujeres en esta situación sostienen el valor de la familia unida y que los hijos e hijas necesitan a los padres juntos; no se consideran capaces de mantenerse ellas mismas y a sus hijos e hijas, ni de autoabastecerse; han sido apartadas de la vida laboral fuera del hogar y carecen de estudios que les permitan mejorar su condición laboral. Esto último les paraliza, creen que la condición de agresión cambiará con el tiempo y que el amor mejorará la situación en la que se encuentran inmersas; creen que ellas son las causantes de los detonantes de la agresión, y se encuentran en una agresión cíclica con mucha confusión emocional (Arcas, 2014).</w:t>
      </w:r>
    </w:p>
    <w:p w14:paraId="368976C2" w14:textId="77777777" w:rsidR="00E10342" w:rsidRDefault="00D31DDB" w:rsidP="003B5F1C">
      <w:pPr>
        <w:pStyle w:val="uk-text-justify"/>
        <w:shd w:val="clear" w:color="auto" w:fill="FFFFFF"/>
        <w:spacing w:before="0" w:after="0" w:line="360" w:lineRule="auto"/>
        <w:ind w:firstLine="709"/>
        <w:jc w:val="both"/>
        <w:rPr>
          <w:bCs/>
        </w:rPr>
      </w:pPr>
      <w:r>
        <w:rPr>
          <w:bCs/>
        </w:rPr>
        <w:t>Este concepto aportará las herramientas requeridas para sensibilizar al lector acerca de los múltiples efectos que puede tener la V. I. en las personas víctimas, específicamente en las habilidades cognitivas.</w:t>
      </w:r>
    </w:p>
    <w:p w14:paraId="06932334" w14:textId="29F62FF8" w:rsidR="00E10342" w:rsidRDefault="00D31DDB" w:rsidP="003B5F1C">
      <w:pPr>
        <w:pStyle w:val="Ttulo3"/>
      </w:pPr>
      <w:bookmarkStart w:id="181" w:name="_Toc61276991"/>
      <w:bookmarkStart w:id="182" w:name="__RefHeading__27467_1894434827"/>
      <w:bookmarkStart w:id="183" w:name="_Toc62463340"/>
      <w:bookmarkStart w:id="184" w:name="_Toc62476076"/>
      <w:bookmarkStart w:id="185" w:name="_Toc62476283"/>
      <w:bookmarkStart w:id="186" w:name="_Toc63688949"/>
      <w:r w:rsidRPr="003B5F1C">
        <w:t>3.</w:t>
      </w:r>
      <w:r w:rsidR="00735550" w:rsidRPr="003B5F1C">
        <w:t>5</w:t>
      </w:r>
      <w:r w:rsidRPr="003B5F1C">
        <w:t>.3 Neurociencia</w:t>
      </w:r>
      <w:bookmarkEnd w:id="181"/>
      <w:bookmarkEnd w:id="182"/>
      <w:bookmarkEnd w:id="183"/>
      <w:bookmarkEnd w:id="184"/>
      <w:bookmarkEnd w:id="185"/>
      <w:bookmarkEnd w:id="186"/>
    </w:p>
    <w:p w14:paraId="616DA209" w14:textId="09464C0C" w:rsidR="00E10342" w:rsidRDefault="00D31DDB" w:rsidP="003B5F1C">
      <w:pPr>
        <w:pStyle w:val="Standard"/>
        <w:spacing w:after="0" w:line="360" w:lineRule="auto"/>
        <w:ind w:firstLine="709"/>
        <w:jc w:val="both"/>
      </w:pPr>
      <w:bookmarkStart w:id="187" w:name="_Hlk44264300"/>
      <w:r>
        <w:rPr>
          <w:rFonts w:ascii="Times New Roman" w:hAnsi="Times New Roman" w:cs="Times New Roman"/>
          <w:bCs/>
          <w:sz w:val="24"/>
          <w:szCs w:val="24"/>
        </w:rPr>
        <w:t xml:space="preserve">Resulta ser una forma de conocer de manera más amplia al cerebro –cómo es, cómo aprende, procesa, registra y conserva </w:t>
      </w:r>
      <w:bookmarkEnd w:id="187"/>
      <w:r>
        <w:rPr>
          <w:rFonts w:ascii="Times New Roman" w:hAnsi="Times New Roman" w:cs="Times New Roman"/>
          <w:bCs/>
          <w:sz w:val="24"/>
          <w:szCs w:val="24"/>
        </w:rPr>
        <w:t>la información–.</w:t>
      </w:r>
    </w:p>
    <w:p w14:paraId="45EE3100" w14:textId="504C62B8" w:rsidR="00E10342" w:rsidRDefault="00D31DDB" w:rsidP="003B5F1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Este concepto aportará a la presente investigación las herramientas científicas que indican cómo es el cerebro, cómo desarrolla habilidades, al igual que cómo procesa, transforma y descarta información con el paso del tiempo (Campos, 2010).</w:t>
      </w:r>
      <w:r w:rsidR="005F159A">
        <w:rPr>
          <w:rFonts w:ascii="Times New Roman" w:hAnsi="Times New Roman" w:cs="Times New Roman"/>
          <w:bCs/>
          <w:sz w:val="24"/>
          <w:szCs w:val="24"/>
        </w:rPr>
        <w:t xml:space="preserve"> </w:t>
      </w:r>
    </w:p>
    <w:p w14:paraId="270EA57D" w14:textId="1C852EF9" w:rsidR="00E10342" w:rsidRPr="003B5F1C" w:rsidRDefault="00D31DDB" w:rsidP="003B5F1C">
      <w:pPr>
        <w:pStyle w:val="Ttulo3"/>
      </w:pPr>
      <w:bookmarkStart w:id="188" w:name="__RefHeading__27469_1894434827"/>
      <w:bookmarkStart w:id="189" w:name="_Toc61276992"/>
      <w:bookmarkStart w:id="190" w:name="_Toc62463341"/>
      <w:bookmarkStart w:id="191" w:name="_Toc62476077"/>
      <w:bookmarkStart w:id="192" w:name="_Toc62476284"/>
      <w:bookmarkStart w:id="193" w:name="_Toc63688950"/>
      <w:r w:rsidRPr="003B5F1C">
        <w:t>3.</w:t>
      </w:r>
      <w:r w:rsidR="00735550" w:rsidRPr="003B5F1C">
        <w:t>5</w:t>
      </w:r>
      <w:r w:rsidRPr="003B5F1C">
        <w:t>.4 Violencia de Género</w:t>
      </w:r>
      <w:bookmarkEnd w:id="188"/>
      <w:bookmarkEnd w:id="189"/>
      <w:bookmarkEnd w:id="190"/>
      <w:bookmarkEnd w:id="191"/>
      <w:bookmarkEnd w:id="192"/>
      <w:bookmarkEnd w:id="193"/>
    </w:p>
    <w:p w14:paraId="3766404F" w14:textId="3047492E" w:rsidR="00E10342" w:rsidRPr="009E507D" w:rsidRDefault="00D31DDB" w:rsidP="009E507D">
      <w:pPr>
        <w:pStyle w:val="Standard"/>
        <w:spacing w:after="0" w:line="360" w:lineRule="auto"/>
        <w:ind w:firstLine="680"/>
        <w:jc w:val="both"/>
        <w:rPr>
          <w:rFonts w:ascii="Times New Roman" w:hAnsi="Times New Roman" w:cs="Times New Roman"/>
          <w:bCs/>
          <w:sz w:val="24"/>
          <w:szCs w:val="24"/>
        </w:rPr>
      </w:pPr>
      <w:bookmarkStart w:id="194" w:name="__RefHeading__27471_1894434827"/>
      <w:bookmarkStart w:id="195" w:name="_Toc62463342"/>
      <w:r w:rsidRPr="009E507D">
        <w:rPr>
          <w:rFonts w:ascii="Times New Roman" w:hAnsi="Times New Roman" w:cs="Times New Roman"/>
          <w:bCs/>
          <w:sz w:val="24"/>
          <w:szCs w:val="24"/>
        </w:rPr>
        <w:t xml:space="preserve">Siempre que se encuentre un acto de agresión con fundamento en dominación de los hombres frente a las mujeres estamos frente a violencia de género y la misma se manifestará </w:t>
      </w:r>
      <w:r w:rsidRPr="009E507D">
        <w:rPr>
          <w:rFonts w:ascii="Times New Roman" w:hAnsi="Times New Roman" w:cs="Times New Roman"/>
          <w:bCs/>
          <w:sz w:val="24"/>
          <w:szCs w:val="24"/>
        </w:rPr>
        <w:lastRenderedPageBreak/>
        <w:t>de muchas maneras causando ya sea daño de índole físico, sexual o psicológico. Frente a esta realidad la sociedad ha determinado la necesidad de la creación de varios instrumentos internacionales entre las que se encuentra la Convención para la Eliminación de la Discriminación contra la Mujer de la Asamblea General de las Naciones Unidas, como instrumento específico para el tema de violencia intrafamiliar.</w:t>
      </w:r>
      <w:bookmarkEnd w:id="194"/>
      <w:bookmarkEnd w:id="195"/>
    </w:p>
    <w:p w14:paraId="68BDD842" w14:textId="14B3B7AA" w:rsidR="00E10342" w:rsidRPr="003B5F1C" w:rsidRDefault="00D31DDB" w:rsidP="003B5F1C">
      <w:pPr>
        <w:pStyle w:val="Standard"/>
        <w:spacing w:after="0" w:line="360" w:lineRule="auto"/>
        <w:ind w:firstLine="680"/>
        <w:jc w:val="both"/>
        <w:rPr>
          <w:rFonts w:ascii="Times New Roman" w:hAnsi="Times New Roman" w:cs="Times New Roman"/>
          <w:bCs/>
          <w:sz w:val="24"/>
          <w:szCs w:val="24"/>
        </w:rPr>
      </w:pPr>
      <w:r w:rsidRPr="003B5F1C">
        <w:rPr>
          <w:rFonts w:ascii="Times New Roman" w:hAnsi="Times New Roman" w:cs="Times New Roman"/>
          <w:bCs/>
          <w:sz w:val="24"/>
          <w:szCs w:val="24"/>
        </w:rPr>
        <w:t>La Convención para la Eliminación de la Discriminación contra la Mujer de la Asamblea General de las Naciones Unidas (CEDAW, 1992), en su artículo 1, define la violencia de género como “la violencia dirigida contra la mujer porque es mujer o que la afecta en forma desproporcionada” y la UNICEF (2003) ha definido el mismo término para distinguir la violencia común de la que se dirige a individuos o grupos sobre la base de su género. Este concepto facilitará comprender que la violencia de género es el resultado de la violencia que se ejerce contra las mujeres por su condición de mujer, no por su condición de persona.</w:t>
      </w:r>
    </w:p>
    <w:p w14:paraId="561E59B5" w14:textId="44E8185A" w:rsidR="00E10342" w:rsidRPr="003B5F1C" w:rsidRDefault="00D31DDB" w:rsidP="003B5F1C">
      <w:pPr>
        <w:pStyle w:val="Standard"/>
        <w:spacing w:after="0" w:line="360" w:lineRule="auto"/>
        <w:ind w:firstLine="680"/>
        <w:jc w:val="both"/>
        <w:rPr>
          <w:rFonts w:ascii="Times New Roman" w:hAnsi="Times New Roman" w:cs="Times New Roman"/>
          <w:bCs/>
          <w:sz w:val="24"/>
          <w:szCs w:val="24"/>
        </w:rPr>
      </w:pPr>
      <w:r w:rsidRPr="003B5F1C">
        <w:rPr>
          <w:rFonts w:ascii="Times New Roman" w:hAnsi="Times New Roman" w:cs="Times New Roman"/>
          <w:bCs/>
          <w:sz w:val="24"/>
          <w:szCs w:val="24"/>
        </w:rPr>
        <w:t>Aunado a lo anterior, el término de género se ha utilizado para referirse a la situación de la mujer en sociedad por las corrientes feministas y, en consecuencia, se define como toda aquella violencia que se ejerce contra las mujeres y que es cometida por quienes se encuentren o hayan estado ligados a nivel afectivo. De esta forma, el objetivo del perpetrador es el de producir daño y control sobre la mujer, de manera continuada en el tiempo y sistemática en cuanto a la forma, lo cual resulta parte de su estrategia.</w:t>
      </w:r>
    </w:p>
    <w:p w14:paraId="656446A6" w14:textId="0450E942" w:rsidR="00E10342" w:rsidRPr="003B5F1C" w:rsidRDefault="00D31DDB" w:rsidP="003B5F1C">
      <w:pPr>
        <w:pStyle w:val="Standard"/>
        <w:spacing w:after="0" w:line="360" w:lineRule="auto"/>
        <w:ind w:firstLine="680"/>
        <w:jc w:val="both"/>
        <w:rPr>
          <w:rFonts w:ascii="Times New Roman" w:hAnsi="Times New Roman" w:cs="Times New Roman"/>
          <w:bCs/>
          <w:sz w:val="24"/>
          <w:szCs w:val="24"/>
        </w:rPr>
      </w:pPr>
      <w:r w:rsidRPr="003B5F1C">
        <w:rPr>
          <w:rFonts w:ascii="Times New Roman" w:hAnsi="Times New Roman" w:cs="Times New Roman"/>
          <w:bCs/>
          <w:sz w:val="24"/>
          <w:szCs w:val="24"/>
        </w:rPr>
        <w:t>Sin embargo, dicho concepto debe ir más allá, pues se trata de un sistema que abarca las construcciones socioculturales a través de la historia en torno a la feminidad y la masculinidad. Esta construcción no es natural, ya que surge mediante roles, normas y estereotipos generalizados para hombres y mujeres, aprendidos a partir de la socialización diferenciada entre hombres y mujeres, legitimados por el sistema político y sus mecanismos de dominación. (Fernández 2008).</w:t>
      </w:r>
    </w:p>
    <w:p w14:paraId="08F42D10" w14:textId="77777777" w:rsidR="003B5F1C" w:rsidRDefault="00D31DDB" w:rsidP="003B5F1C">
      <w:pPr>
        <w:pStyle w:val="Standard"/>
        <w:spacing w:after="0" w:line="360" w:lineRule="auto"/>
        <w:ind w:firstLine="680"/>
        <w:jc w:val="both"/>
        <w:rPr>
          <w:rFonts w:ascii="Times New Roman" w:hAnsi="Times New Roman" w:cs="Times New Roman"/>
          <w:bCs/>
          <w:sz w:val="24"/>
          <w:szCs w:val="24"/>
        </w:rPr>
      </w:pPr>
      <w:r w:rsidRPr="003B5F1C">
        <w:rPr>
          <w:rFonts w:ascii="Times New Roman" w:hAnsi="Times New Roman" w:cs="Times New Roman"/>
          <w:bCs/>
          <w:sz w:val="24"/>
          <w:szCs w:val="24"/>
        </w:rPr>
        <w:t>El establecimiento de las relaciones sociales de género ha dado paso a la ideología del patriarcado, la cual legitima y normaliza el rol asignado a los hombres en el proceso productivo y reproductivo, el primero considerado un espacio de hombres y el segundo, de mujeres. Dicho rol otorga al hombre un lugar de poder, autoridad, control y dominación, así como reconocimiento de índole social y económica.</w:t>
      </w:r>
    </w:p>
    <w:p w14:paraId="71DCA1CE" w14:textId="55D935DC" w:rsidR="00E10342" w:rsidRPr="003B5F1C" w:rsidRDefault="00D31DDB" w:rsidP="003B5F1C">
      <w:pPr>
        <w:pStyle w:val="Standard"/>
        <w:spacing w:after="0" w:line="360" w:lineRule="auto"/>
        <w:ind w:firstLine="680"/>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Lo anterior, debido a que suelen confundirse los roles sexuales con los roles de género, tal y como lo detalla </w:t>
      </w:r>
      <w:bookmarkStart w:id="196" w:name="_Hlk58755819"/>
      <w:r w:rsidR="00704759">
        <w:rPr>
          <w:rFonts w:ascii="Times New Roman" w:hAnsi="Times New Roman" w:cs="Times New Roman"/>
          <w:bCs/>
          <w:sz w:val="24"/>
          <w:szCs w:val="24"/>
        </w:rPr>
        <w:t xml:space="preserve">Villareal </w:t>
      </w:r>
      <w:r>
        <w:rPr>
          <w:rFonts w:ascii="Times New Roman" w:hAnsi="Times New Roman" w:cs="Times New Roman"/>
          <w:bCs/>
          <w:sz w:val="24"/>
          <w:szCs w:val="24"/>
        </w:rPr>
        <w:t>(</w:t>
      </w:r>
      <w:r w:rsidR="00704759">
        <w:rPr>
          <w:rFonts w:ascii="Times New Roman" w:hAnsi="Times New Roman" w:cs="Times New Roman"/>
          <w:bCs/>
          <w:sz w:val="24"/>
          <w:szCs w:val="24"/>
        </w:rPr>
        <w:t>2003</w:t>
      </w:r>
      <w:bookmarkEnd w:id="196"/>
      <w:r>
        <w:rPr>
          <w:rFonts w:ascii="Times New Roman" w:hAnsi="Times New Roman" w:cs="Times New Roman"/>
          <w:bCs/>
          <w:sz w:val="24"/>
          <w:szCs w:val="24"/>
        </w:rPr>
        <w:t>), como sigue:</w:t>
      </w:r>
    </w:p>
    <w:p w14:paraId="38384F14" w14:textId="77777777" w:rsidR="00E10342" w:rsidRDefault="00D31DDB" w:rsidP="0095499B">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Roles Sexuales: Comportamientos que están determinados por el sexo biológico de una persona, como, por ejemplo, la menstruación, embarazo, lactancia, andropausia, erección y orgasmo.</w:t>
      </w:r>
    </w:p>
    <w:p w14:paraId="224A8147" w14:textId="22B1C695" w:rsidR="00D276AE" w:rsidRDefault="00D31DDB" w:rsidP="0095499B">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Roles de Género: Son aquellas expectativas sociales creadas en torno al comportamiento femenino y masculino. Son construcciones sociales de lo que se espera sea el comportamiento de la mujer y del hombre. Contienen autoconceptos, características psicológicas, así como roles familiares, ocupacionales y políticos que se asignan a uno y otro sexo de acuerdo con dicotomías que los separan y los consideran como opuestos. Así se espera que las mujeres sean pasivas, dependientes y cariñosas, mientras que los hombres agresivos, competitivos e independientes. </w:t>
      </w:r>
      <w:r w:rsidR="00D276AE">
        <w:rPr>
          <w:rFonts w:ascii="Times New Roman" w:hAnsi="Times New Roman" w:cs="Times New Roman"/>
          <w:bCs/>
          <w:sz w:val="24"/>
          <w:szCs w:val="24"/>
        </w:rPr>
        <w:t>(p.75)</w:t>
      </w:r>
    </w:p>
    <w:p w14:paraId="633E73D3" w14:textId="561DFA19" w:rsidR="00E10342" w:rsidRDefault="00D31DDB" w:rsidP="003B5F1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En este contexto se concibe al hombre como el modelo frente al que se compara al otro grupo, las mujeres, asumiendo que la dominación de </w:t>
      </w:r>
      <w:proofErr w:type="gramStart"/>
      <w:r>
        <w:rPr>
          <w:rFonts w:ascii="Times New Roman" w:hAnsi="Times New Roman" w:cs="Times New Roman"/>
          <w:bCs/>
          <w:sz w:val="24"/>
          <w:szCs w:val="24"/>
        </w:rPr>
        <w:t>éste</w:t>
      </w:r>
      <w:proofErr w:type="gramEnd"/>
      <w:r>
        <w:rPr>
          <w:rFonts w:ascii="Times New Roman" w:hAnsi="Times New Roman" w:cs="Times New Roman"/>
          <w:bCs/>
          <w:sz w:val="24"/>
          <w:szCs w:val="24"/>
        </w:rPr>
        <w:t xml:space="preserve"> frente a las mujeres resulta </w:t>
      </w:r>
      <w:r w:rsidR="00D72101">
        <w:rPr>
          <w:rFonts w:ascii="Times New Roman" w:hAnsi="Times New Roman" w:cs="Times New Roman"/>
          <w:bCs/>
          <w:sz w:val="24"/>
          <w:szCs w:val="24"/>
        </w:rPr>
        <w:t>válida</w:t>
      </w:r>
      <w:r>
        <w:rPr>
          <w:rFonts w:ascii="Times New Roman" w:hAnsi="Times New Roman" w:cs="Times New Roman"/>
          <w:bCs/>
          <w:sz w:val="24"/>
          <w:szCs w:val="24"/>
        </w:rPr>
        <w:t xml:space="preserve"> en el ámbito público y privado desde lo biológico</w:t>
      </w:r>
      <w:r w:rsidR="00704759">
        <w:rPr>
          <w:rFonts w:ascii="Times New Roman" w:hAnsi="Times New Roman" w:cs="Times New Roman"/>
          <w:bCs/>
          <w:sz w:val="24"/>
          <w:szCs w:val="24"/>
        </w:rPr>
        <w:t xml:space="preserve">. </w:t>
      </w:r>
    </w:p>
    <w:p w14:paraId="6D67787F" w14:textId="37A86E72" w:rsidR="00E10342" w:rsidRPr="003B5F1C" w:rsidRDefault="00D31DDB" w:rsidP="003B5F1C">
      <w:pPr>
        <w:pStyle w:val="Ttulo3"/>
      </w:pPr>
      <w:bookmarkStart w:id="197" w:name="__RefHeading__27473_1894434827"/>
      <w:bookmarkStart w:id="198" w:name="_Toc61276993"/>
      <w:bookmarkStart w:id="199" w:name="_Toc62463343"/>
      <w:bookmarkStart w:id="200" w:name="_Toc62476078"/>
      <w:bookmarkStart w:id="201" w:name="_Toc62476285"/>
      <w:bookmarkStart w:id="202" w:name="_Toc63688951"/>
      <w:r w:rsidRPr="003B5F1C">
        <w:t>3.</w:t>
      </w:r>
      <w:r w:rsidR="00735550" w:rsidRPr="003B5F1C">
        <w:t>5</w:t>
      </w:r>
      <w:r w:rsidRPr="003B5F1C">
        <w:t>.5 Violencia Contra la Mujer</w:t>
      </w:r>
      <w:bookmarkEnd w:id="197"/>
      <w:bookmarkEnd w:id="198"/>
      <w:bookmarkEnd w:id="199"/>
      <w:bookmarkEnd w:id="200"/>
      <w:bookmarkEnd w:id="201"/>
      <w:bookmarkEnd w:id="202"/>
    </w:p>
    <w:p w14:paraId="0615DA23" w14:textId="6CD843B1" w:rsidR="00E10342" w:rsidRDefault="00D31DDB" w:rsidP="003B5F1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Al igual que la V. D. y la V.I, responde a la violencia que sufre la mujer por parte de su pareja o expareja sentimental, que es una manifestación de la violencia de género, razón por la cual se hace alusión a la normativa nacional e internacional existente, la cual es precisamente el aporte que dicho concepto hace al presente trabajo final, pues la terminología ahí contenida es la utilizada en este estudio.</w:t>
      </w:r>
    </w:p>
    <w:p w14:paraId="0F5E1A14" w14:textId="77777777" w:rsidR="00E10342" w:rsidRDefault="00D31DDB" w:rsidP="003B5F1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La Ley N.º 6968 es el instrumento legal por medio del cual Costa Rica ratifica la Convención sobre la Eliminación de Todas las Formas de Discriminación contra la Mujer (CEDAW), la cual establece lo siguiente:</w:t>
      </w:r>
    </w:p>
    <w:p w14:paraId="281B2EEF" w14:textId="5016DA22" w:rsidR="00E10342" w:rsidRDefault="00D31DDB" w:rsidP="0095499B">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de la mujer, de los derechos humanos y las libertades fundamentales en las esferas </w:t>
      </w:r>
      <w:r>
        <w:rPr>
          <w:rFonts w:ascii="Times New Roman" w:hAnsi="Times New Roman" w:cs="Times New Roman"/>
          <w:bCs/>
          <w:sz w:val="24"/>
          <w:szCs w:val="24"/>
        </w:rPr>
        <w:lastRenderedPageBreak/>
        <w:t>política, económica, social, cultural y civil o en cualquier otra esfera. (Ley N.º 6968, artículo 1.)</w:t>
      </w:r>
    </w:p>
    <w:p w14:paraId="35E44D1C" w14:textId="3192947F" w:rsidR="00E10342" w:rsidRDefault="00D31DDB" w:rsidP="003B5F1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De esta forma, dicha ley refiere que la violencia contra la mujer se presenta tanto en el ámbito público como en el privado; de ahí la necesidad de proteger a la mujer en diversas esferas en que sus derechos humanos y libertades pueden ser violentados. Por eso, se refiere a las esferas social, cultural, económica, política, civil o cualquier otra. Además, reconoce el acceso a educación, así como a empleo o en equidad sin estereotipos de género, estado civil o maternidad. En cuanto a la maternidad, también reconoce que se trata de una función social con corresponsabilidad entre hombres y mujeres para su ejercicio, como lo indica el artículo 5, inciso a, de la siguiente forma:</w:t>
      </w:r>
    </w:p>
    <w:p w14:paraId="126EED30" w14:textId="77777777" w:rsidR="00E10342" w:rsidRDefault="00D31DDB" w:rsidP="0095499B">
      <w:pPr>
        <w:pStyle w:val="Standard"/>
        <w:spacing w:after="0" w:line="360" w:lineRule="auto"/>
        <w:ind w:left="709"/>
        <w:jc w:val="both"/>
      </w:pPr>
      <w:r>
        <w:rPr>
          <w:rFonts w:ascii="Times New Roman" w:hAnsi="Times New Roman" w:cs="Times New Roman"/>
          <w:bCs/>
          <w:sz w:val="24"/>
          <w:szCs w:val="24"/>
        </w:rPr>
        <w:t>Modificar los patrones socioculturales de conducta de hombre y mujeres con miras a alcanzar la eliminación de los prejuicios y las prácticas consuetudinarias y de cualquier otra índole que estén basados en la idea de la inferioridad o superioridad de cualquiera de los sexos o en funciones estereotipadas de hombres y mujeres. (Ley N.º 6968)</w:t>
      </w:r>
    </w:p>
    <w:p w14:paraId="448DFEE3" w14:textId="7C372C79" w:rsidR="00E10342" w:rsidRDefault="00D31DDB" w:rsidP="003B5F1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El artículo 16 de esta convención aborda el tema de las relaciones familiares e indica que en el ámbito doméstico se presentan situaciones de discriminación y violencia contra la mujer, por lo cual procura inculcar el principio de igualdad en temas tales como matrimonio, procreación, posesión de bienes, en cuanto a nombre y profesión se refiere.</w:t>
      </w:r>
    </w:p>
    <w:p w14:paraId="16782A00" w14:textId="56506D0C" w:rsidR="00E10342" w:rsidRDefault="00D31DDB" w:rsidP="003B5F1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Por su parte, es en la Declaración sobre la Eliminación de la Violencia Contra las Mujeres, en la resolución de la Asamblea General de la ONU, número 48/104, del 20 de diciembre de 1993, donde se indica, en su artículo 1, lo siguiente:</w:t>
      </w:r>
    </w:p>
    <w:p w14:paraId="1AF00C2E" w14:textId="77777777" w:rsidR="00E10342" w:rsidRDefault="00D31DDB" w:rsidP="0095499B">
      <w:pPr>
        <w:pStyle w:val="Standard"/>
        <w:spacing w:after="0" w:line="360" w:lineRule="auto"/>
        <w:ind w:left="709"/>
        <w:jc w:val="both"/>
      </w:pPr>
      <w:r>
        <w:rPr>
          <w:rFonts w:ascii="Times New Roman" w:hAnsi="Times New Roman" w:cs="Times New Roman"/>
          <w:bCs/>
          <w:sz w:val="24"/>
          <w:szCs w:val="24"/>
        </w:rPr>
        <w:t>(…) todo acto de violencia basado en la pertenencia al sexo femenino que tenga o pueda tener como resultado un daño o sufrimiento físico, sexual o psicológico para la mujer, así como las amenazas de tales actos, la coacción o la privación arbitraria de la libertad, tanto si se producen en la vida pública como en la vida privada (…).</w:t>
      </w:r>
      <w:r w:rsidRPr="00F829F4">
        <w:rPr>
          <w:rFonts w:ascii="Times New Roman" w:hAnsi="Times New Roman" w:cs="Times New Roman"/>
          <w:bCs/>
          <w:sz w:val="24"/>
          <w:szCs w:val="24"/>
        </w:rPr>
        <w:t xml:space="preserve"> (</w:t>
      </w:r>
      <w:r>
        <w:rPr>
          <w:rFonts w:ascii="Times New Roman" w:hAnsi="Times New Roman" w:cs="Times New Roman"/>
          <w:bCs/>
          <w:sz w:val="24"/>
          <w:szCs w:val="24"/>
        </w:rPr>
        <w:t>Asamblea General de la ONU, 1993, art. 1</w:t>
      </w:r>
      <w:r w:rsidRPr="00F829F4">
        <w:rPr>
          <w:rFonts w:ascii="Times New Roman" w:hAnsi="Times New Roman" w:cs="Times New Roman"/>
          <w:bCs/>
          <w:sz w:val="24"/>
          <w:szCs w:val="24"/>
        </w:rPr>
        <w:t>)</w:t>
      </w:r>
    </w:p>
    <w:p w14:paraId="31D4B089" w14:textId="304D4B68" w:rsidR="00E10342" w:rsidRDefault="00D31DDB" w:rsidP="0095499B">
      <w:pPr>
        <w:pStyle w:val="Standard"/>
        <w:spacing w:after="0" w:line="360" w:lineRule="auto"/>
        <w:ind w:firstLine="709"/>
        <w:jc w:val="both"/>
        <w:rPr>
          <w:rFonts w:ascii="Times New Roman" w:hAnsi="Times New Roman" w:cs="Times New Roman"/>
          <w:bCs/>
          <w:sz w:val="24"/>
          <w:szCs w:val="24"/>
        </w:rPr>
      </w:pPr>
      <w:r w:rsidRPr="0095499B">
        <w:rPr>
          <w:rFonts w:ascii="Times New Roman" w:hAnsi="Times New Roman" w:cs="Times New Roman"/>
          <w:bCs/>
          <w:sz w:val="24"/>
          <w:szCs w:val="24"/>
        </w:rPr>
        <w:t>En este aspecto, a CEDAW busca rescatar que la violencia contra las mujeres tiene</w:t>
      </w:r>
      <w:r>
        <w:rPr>
          <w:rFonts w:ascii="Times New Roman" w:hAnsi="Times New Roman" w:cs="Times New Roman"/>
          <w:bCs/>
          <w:sz w:val="24"/>
          <w:szCs w:val="24"/>
        </w:rPr>
        <w:t xml:space="preserve"> su origen en la teoría de género, en todos sus ámbitos, y que se manifiesta en actos, coacción y amenaza que ocasionan daños de tipo físico, sexual o psicológico. Asimismo, al ser la violencia contra la mujer de larga data, ha provocado y justificado la dominación del hombre </w:t>
      </w:r>
      <w:r>
        <w:rPr>
          <w:rFonts w:ascii="Times New Roman" w:hAnsi="Times New Roman" w:cs="Times New Roman"/>
          <w:bCs/>
          <w:sz w:val="24"/>
          <w:szCs w:val="24"/>
        </w:rPr>
        <w:lastRenderedPageBreak/>
        <w:t>frente a la mujer que le ha impedido a esta un desarrollo pleno. Por lo tanto, la violencia contra la mujer es el medio mediante el cual se justifica el rol de dominación.</w:t>
      </w:r>
      <w:r>
        <w:rPr>
          <w:rFonts w:ascii="Times New Roman" w:hAnsi="Times New Roman" w:cs="Times New Roman"/>
          <w:bCs/>
          <w:sz w:val="24"/>
          <w:szCs w:val="24"/>
        </w:rPr>
        <w:tab/>
      </w:r>
    </w:p>
    <w:p w14:paraId="4785446C" w14:textId="2052B49E" w:rsidR="00E10342" w:rsidRDefault="00D31DDB" w:rsidP="0095499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Otro aspecto importante es que la expresión de la violencia contra la mujer no hace distinción en clase social ni edad y, por tal razón, existe la aclaración previa a la Declaración sobre la Violencia Contra la Mujer que indica lo siguiente:</w:t>
      </w:r>
    </w:p>
    <w:p w14:paraId="5E9EB61B" w14:textId="77777777" w:rsidR="00E10342" w:rsidRDefault="00D31DDB" w:rsidP="0095499B">
      <w:pPr>
        <w:pStyle w:val="Standard"/>
        <w:spacing w:after="0" w:line="360" w:lineRule="auto"/>
        <w:ind w:left="709"/>
        <w:jc w:val="both"/>
      </w:pPr>
      <w:r>
        <w:rPr>
          <w:rFonts w:ascii="Times New Roman" w:hAnsi="Times New Roman" w:cs="Times New Roman"/>
          <w:bCs/>
          <w:sz w:val="24"/>
          <w:szCs w:val="24"/>
        </w:rPr>
        <w:t>(…) la conclusión en el anexo a la resolución 1990/15 del Consejo Económico y Social, de 24 de mayo de 1990, en que se reconoce que la VCM en la familia y en la sociedad se ha generalizado y trasciende las diferencias de ingresos, clases sociales y culturas, y debe contrarrestarse con medidas urgentes y eficaces para eliminar su incidencia. (párr. 23)</w:t>
      </w:r>
    </w:p>
    <w:p w14:paraId="09BCFF9B" w14:textId="7EE05959" w:rsidR="00E10342" w:rsidRDefault="00D31DDB" w:rsidP="0095499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Otro instrumento legal es la Convención Interamericana para Prevenir, Sancionar y Erradicar la VCM (Belem Do Pará), que es ratificada en Costa Rica mediante la Ley N.º 7499. En ella, se reconoce también la violencia contra la mujer como violación a los derechos humanos y las libertades fundamentales, al indicar en su artículo 1 lo siguiente:</w:t>
      </w:r>
    </w:p>
    <w:p w14:paraId="32A68FF6" w14:textId="5D997C4E" w:rsidR="00E10342" w:rsidRDefault="00D31DDB" w:rsidP="0095499B">
      <w:pPr>
        <w:pStyle w:val="Standard"/>
        <w:spacing w:after="0" w:line="360" w:lineRule="auto"/>
        <w:ind w:left="709"/>
        <w:jc w:val="both"/>
      </w:pPr>
      <w:r>
        <w:rPr>
          <w:rFonts w:ascii="Times New Roman" w:hAnsi="Times New Roman" w:cs="Times New Roman"/>
          <w:bCs/>
          <w:sz w:val="24"/>
          <w:szCs w:val="24"/>
        </w:rPr>
        <w:t>Para los efectos de esta Convención debe entenderse por violencia contra la mujer cualquier acción o conducta, basada en su género, que cause muerte, daño o sufrimiento físico, sexual o psicológico a la mujer, tanto en el ámbito público como en el privado.</w:t>
      </w:r>
      <w:r w:rsidR="00FA07AC">
        <w:rPr>
          <w:rFonts w:ascii="Times New Roman" w:hAnsi="Times New Roman" w:cs="Times New Roman"/>
          <w:bCs/>
          <w:sz w:val="24"/>
          <w:szCs w:val="24"/>
        </w:rPr>
        <w:t xml:space="preserve"> (Ley N.º 7499, artículo </w:t>
      </w:r>
      <w:r w:rsidR="00071417">
        <w:rPr>
          <w:rFonts w:ascii="Times New Roman" w:hAnsi="Times New Roman" w:cs="Times New Roman"/>
          <w:bCs/>
          <w:sz w:val="24"/>
          <w:szCs w:val="24"/>
        </w:rPr>
        <w:t>1</w:t>
      </w:r>
      <w:r w:rsidR="00FA07AC">
        <w:rPr>
          <w:rFonts w:ascii="Times New Roman" w:hAnsi="Times New Roman" w:cs="Times New Roman"/>
          <w:bCs/>
          <w:sz w:val="24"/>
          <w:szCs w:val="24"/>
        </w:rPr>
        <w:t>)</w:t>
      </w:r>
    </w:p>
    <w:p w14:paraId="3AEDA21D" w14:textId="08F484F2" w:rsidR="00E10342" w:rsidRDefault="00071417" w:rsidP="0095499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Este artículo se complementa con el </w:t>
      </w:r>
      <w:r w:rsidR="00D31DDB">
        <w:rPr>
          <w:rFonts w:ascii="Times New Roman" w:hAnsi="Times New Roman" w:cs="Times New Roman"/>
          <w:bCs/>
          <w:sz w:val="24"/>
          <w:szCs w:val="24"/>
        </w:rPr>
        <w:t xml:space="preserve">artículo 2, </w:t>
      </w:r>
      <w:r>
        <w:rPr>
          <w:rFonts w:ascii="Times New Roman" w:hAnsi="Times New Roman" w:cs="Times New Roman"/>
          <w:bCs/>
          <w:sz w:val="24"/>
          <w:szCs w:val="24"/>
        </w:rPr>
        <w:t xml:space="preserve">el cual </w:t>
      </w:r>
      <w:r w:rsidR="00D31DDB">
        <w:rPr>
          <w:rFonts w:ascii="Times New Roman" w:hAnsi="Times New Roman" w:cs="Times New Roman"/>
          <w:bCs/>
          <w:sz w:val="24"/>
          <w:szCs w:val="24"/>
        </w:rPr>
        <w:t>refiere que la violencia contra la mujer incluye violencia física, sexual y psicológica ejercida ya sea dentro de la familia o en cualquier otro tipo de relación, presente o pasada, extendiendo su reconocimiento a las agresiones que las mujeres pueden recibir en el ámbito público por organizaciones, instituciones o por el Estado, específicamente en el ámbito sexual, propiamente en su artículo 6, al disponer el derecho de las mujeres a una vida libre de violencia, sin discriminación, y a ser educada</w:t>
      </w:r>
      <w:r w:rsidR="005F159A">
        <w:rPr>
          <w:rFonts w:ascii="Times New Roman" w:hAnsi="Times New Roman" w:cs="Times New Roman"/>
          <w:bCs/>
          <w:sz w:val="24"/>
          <w:szCs w:val="24"/>
        </w:rPr>
        <w:t xml:space="preserve"> </w:t>
      </w:r>
      <w:r w:rsidR="00D31DDB">
        <w:rPr>
          <w:rFonts w:ascii="Times New Roman" w:hAnsi="Times New Roman" w:cs="Times New Roman"/>
          <w:bCs/>
          <w:sz w:val="24"/>
          <w:szCs w:val="24"/>
        </w:rPr>
        <w:t>sin estereotipos de género.</w:t>
      </w:r>
    </w:p>
    <w:p w14:paraId="497112E5" w14:textId="4394EF36" w:rsidR="00E10342" w:rsidRDefault="00D31DDB" w:rsidP="0095499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Dentro de la legislación nacional, es necesario citar la Ley N.º 7586, </w:t>
      </w:r>
      <w:r w:rsidR="003511F0">
        <w:rPr>
          <w:rFonts w:ascii="Times New Roman" w:hAnsi="Times New Roman" w:cs="Times New Roman"/>
          <w:bCs/>
          <w:sz w:val="24"/>
          <w:szCs w:val="24"/>
        </w:rPr>
        <w:t>C</w:t>
      </w:r>
      <w:r>
        <w:rPr>
          <w:rFonts w:ascii="Times New Roman" w:hAnsi="Times New Roman" w:cs="Times New Roman"/>
          <w:bCs/>
          <w:sz w:val="24"/>
          <w:szCs w:val="24"/>
        </w:rPr>
        <w:t>ontra la Violencia Doméstica que, en su artículo 2, define la violencia contra la mujer de la siguiente manera:</w:t>
      </w:r>
    </w:p>
    <w:p w14:paraId="11EEA54C" w14:textId="290F8F3C" w:rsidR="00E10342" w:rsidRDefault="00D31DDB" w:rsidP="0095499B">
      <w:pPr>
        <w:pStyle w:val="Standard"/>
        <w:spacing w:after="0" w:line="360" w:lineRule="auto"/>
        <w:ind w:left="709"/>
        <w:jc w:val="both"/>
      </w:pPr>
      <w:r>
        <w:rPr>
          <w:rFonts w:ascii="Times New Roman" w:hAnsi="Times New Roman" w:cs="Times New Roman"/>
          <w:bCs/>
          <w:sz w:val="24"/>
          <w:szCs w:val="24"/>
        </w:rPr>
        <w:t xml:space="preserve">Acción u omisión, directa o indirecta, ejercida contra un pariente por consanguinidad, afinidad o adopción hasta el tercer grado inclusive, por vínculo jurídico o de hecho o por una relación de guarda, tutela o curatela y que produzca </w:t>
      </w:r>
      <w:r>
        <w:rPr>
          <w:rFonts w:ascii="Times New Roman" w:hAnsi="Times New Roman" w:cs="Times New Roman"/>
          <w:bCs/>
          <w:sz w:val="24"/>
          <w:szCs w:val="24"/>
        </w:rPr>
        <w:lastRenderedPageBreak/>
        <w:t>como consecuencia, el menoscabo de su integridad física, sexual, psicológica o patrimonial. El vínculo por afinidad subsistirá aun cuando haya finalizado la relación que lo originó.</w:t>
      </w:r>
      <w:r w:rsidR="00132D7C">
        <w:rPr>
          <w:rFonts w:ascii="Times New Roman" w:hAnsi="Times New Roman" w:cs="Times New Roman"/>
          <w:bCs/>
          <w:sz w:val="24"/>
          <w:szCs w:val="24"/>
        </w:rPr>
        <w:t xml:space="preserve"> (</w:t>
      </w:r>
      <w:r w:rsidR="00AE5785">
        <w:rPr>
          <w:rFonts w:ascii="Times New Roman" w:hAnsi="Times New Roman" w:cs="Times New Roman"/>
          <w:bCs/>
          <w:sz w:val="24"/>
          <w:szCs w:val="24"/>
        </w:rPr>
        <w:t>Ley N.º 7586, art</w:t>
      </w:r>
      <w:r w:rsidR="009453C4">
        <w:rPr>
          <w:rFonts w:ascii="Times New Roman" w:hAnsi="Times New Roman" w:cs="Times New Roman"/>
          <w:bCs/>
          <w:sz w:val="24"/>
          <w:szCs w:val="24"/>
        </w:rPr>
        <w:t xml:space="preserve">. </w:t>
      </w:r>
      <w:r w:rsidR="00AE5785">
        <w:rPr>
          <w:rFonts w:ascii="Times New Roman" w:hAnsi="Times New Roman" w:cs="Times New Roman"/>
          <w:bCs/>
          <w:sz w:val="24"/>
          <w:szCs w:val="24"/>
        </w:rPr>
        <w:t>2)</w:t>
      </w:r>
    </w:p>
    <w:p w14:paraId="691CBB1D" w14:textId="205C5390" w:rsidR="00E10342" w:rsidRDefault="00D31DDB" w:rsidP="0095499B">
      <w:pPr>
        <w:pStyle w:val="Standard"/>
        <w:spacing w:after="0" w:line="360" w:lineRule="auto"/>
        <w:ind w:firstLine="709"/>
        <w:jc w:val="both"/>
      </w:pPr>
      <w:r>
        <w:rPr>
          <w:rFonts w:ascii="Times New Roman" w:hAnsi="Times New Roman" w:cs="Times New Roman"/>
          <w:bCs/>
          <w:sz w:val="24"/>
          <w:szCs w:val="24"/>
        </w:rPr>
        <w:t>Esta ley parte de las mismas premisas teóricas que explican la violencia en general provenientes de la violencia de género, pero trayendo sus manifestaciones al ámbito familiar entre hombres y mujeres con quien tienen o hayan sostenido relación sentimental, sea también por acción u omisión, y que provoque daño físico, emocional, patrimonial o sexual.</w:t>
      </w:r>
    </w:p>
    <w:p w14:paraId="0E433A2E" w14:textId="646D0FD4" w:rsidR="00E10342" w:rsidRPr="00DF5E42" w:rsidRDefault="00D31DDB" w:rsidP="00DF5E42">
      <w:pPr>
        <w:pStyle w:val="Ttulo3"/>
      </w:pPr>
      <w:bookmarkStart w:id="203" w:name="_Toc61276994"/>
      <w:bookmarkStart w:id="204" w:name="_Toc62463344"/>
      <w:bookmarkStart w:id="205" w:name="_Toc62476079"/>
      <w:bookmarkStart w:id="206" w:name="_Toc62476286"/>
      <w:bookmarkStart w:id="207" w:name="_Toc63688952"/>
      <w:r w:rsidRPr="00DF5E42">
        <w:t xml:space="preserve">3.2.6 Formas de V. I. </w:t>
      </w:r>
      <w:r w:rsidR="005A1B36" w:rsidRPr="00DF5E42">
        <w:t>contra las mujeres en relaciones de pareja presentes o pasadas</w:t>
      </w:r>
      <w:bookmarkEnd w:id="203"/>
      <w:bookmarkEnd w:id="204"/>
      <w:bookmarkEnd w:id="205"/>
      <w:bookmarkEnd w:id="206"/>
      <w:bookmarkEnd w:id="207"/>
    </w:p>
    <w:p w14:paraId="441BA6BD" w14:textId="2BCBF9E2" w:rsidR="00E10342" w:rsidRDefault="00D31DDB" w:rsidP="00DF5E42">
      <w:r>
        <w:t>Las formas de V.I. pueden ser de diversos tipos:</w:t>
      </w:r>
      <w:r>
        <w:rPr>
          <w:sz w:val="28"/>
        </w:rPr>
        <w:t xml:space="preserve"> </w:t>
      </w:r>
      <w:r>
        <w:t>física, sexual, patrimonial o emocional. Este término aporta conceptos relevantes que permiten identificar los diversos tipos de violencia de género contra las mujeres y sus características particulares, los cuales se han recopilado en normativa nacional e internacional</w:t>
      </w:r>
      <w:r w:rsidR="00435CC1">
        <w:t xml:space="preserve"> con el afán de distinguir entre cada </w:t>
      </w:r>
      <w:proofErr w:type="gramStart"/>
      <w:r w:rsidR="00435CC1">
        <w:t>una</w:t>
      </w:r>
      <w:proofErr w:type="gramEnd"/>
      <w:r w:rsidR="00435CC1">
        <w:t xml:space="preserve"> de los tipos de V.I existentes de forma clara y contundente sin que ello signifique que no pueden coexistir diversas manifestaciones o una sola de ellas en un incidente a estudiar</w:t>
      </w:r>
      <w:r>
        <w:t>.</w:t>
      </w:r>
    </w:p>
    <w:p w14:paraId="555B9597" w14:textId="4E400B55" w:rsidR="00E10342" w:rsidRPr="002358F9" w:rsidRDefault="00DF5E42" w:rsidP="002358F9">
      <w:pPr>
        <w:rPr>
          <w:bCs/>
        </w:rPr>
      </w:pPr>
      <w:bookmarkStart w:id="208" w:name="_Toc62463345"/>
      <w:r w:rsidRPr="002358F9">
        <w:rPr>
          <w:b/>
          <w:bCs/>
        </w:rPr>
        <w:t xml:space="preserve">3.2.6.1 </w:t>
      </w:r>
      <w:r w:rsidR="00D31DDB" w:rsidRPr="002358F9">
        <w:rPr>
          <w:b/>
          <w:bCs/>
        </w:rPr>
        <w:t>Violencia física</w:t>
      </w:r>
      <w:r w:rsidR="00D31DDB" w:rsidRPr="00DF5E42">
        <w:t>:</w:t>
      </w:r>
      <w:r>
        <w:rPr>
          <w:bCs/>
        </w:rPr>
        <w:t xml:space="preserve"> </w:t>
      </w:r>
      <w:r w:rsidR="005A1B36">
        <w:t>p</w:t>
      </w:r>
      <w:r w:rsidR="00D31DDB" w:rsidRPr="002358F9">
        <w:t xml:space="preserve">or violencia física se comprende, según la Ley contra la Violencia Doméstica, Ley </w:t>
      </w:r>
      <w:proofErr w:type="spellStart"/>
      <w:r w:rsidR="00D31DDB" w:rsidRPr="002358F9">
        <w:t>N.°</w:t>
      </w:r>
      <w:proofErr w:type="spellEnd"/>
      <w:r w:rsidR="00D31DDB" w:rsidRPr="002358F9">
        <w:t xml:space="preserve"> 7586, artículo 2, inciso c: “acción u omisión que arriesga o daña la integridad corporal de una persona”.</w:t>
      </w:r>
      <w:bookmarkEnd w:id="208"/>
    </w:p>
    <w:p w14:paraId="3586A549" w14:textId="073B11DC" w:rsidR="00E10342" w:rsidRDefault="00D31DDB" w:rsidP="002358F9">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A lo anterior, debe agregarse lo que indica </w:t>
      </w:r>
      <w:proofErr w:type="spellStart"/>
      <w:r>
        <w:rPr>
          <w:rFonts w:ascii="Times New Roman" w:hAnsi="Times New Roman" w:cs="Times New Roman"/>
          <w:bCs/>
          <w:sz w:val="24"/>
          <w:szCs w:val="24"/>
        </w:rPr>
        <w:t>Claramont</w:t>
      </w:r>
      <w:proofErr w:type="spellEnd"/>
      <w:r>
        <w:rPr>
          <w:rFonts w:ascii="Times New Roman" w:hAnsi="Times New Roman" w:cs="Times New Roman"/>
          <w:bCs/>
          <w:sz w:val="24"/>
          <w:szCs w:val="24"/>
        </w:rPr>
        <w:t xml:space="preserve"> (2002), que esta forma de violencia hace alusión al abuso físico, entendiendo este como cualquier acción que desencadene daño físico interno o externo e incluso la muerte.</w:t>
      </w:r>
    </w:p>
    <w:p w14:paraId="047A27A4" w14:textId="4AB57518" w:rsidR="00E10342" w:rsidRDefault="002358F9" w:rsidP="002358F9">
      <w:pPr>
        <w:rPr>
          <w:rFonts w:cs="Times New Roman"/>
          <w:bCs/>
          <w:szCs w:val="24"/>
        </w:rPr>
      </w:pPr>
      <w:r w:rsidRPr="002358F9">
        <w:rPr>
          <w:b/>
          <w:bCs/>
        </w:rPr>
        <w:t>3.2.6.</w:t>
      </w:r>
      <w:r>
        <w:rPr>
          <w:b/>
          <w:bCs/>
        </w:rPr>
        <w:t>2</w:t>
      </w:r>
      <w:r w:rsidRPr="002358F9">
        <w:rPr>
          <w:b/>
          <w:bCs/>
        </w:rPr>
        <w:t xml:space="preserve"> </w:t>
      </w:r>
      <w:r w:rsidR="00D31DDB" w:rsidRPr="00DF5E42">
        <w:rPr>
          <w:rFonts w:cs="Times New Roman"/>
          <w:b/>
          <w:szCs w:val="24"/>
        </w:rPr>
        <w:t>Violencia sexual:</w:t>
      </w:r>
      <w:r w:rsidR="00DF5E42">
        <w:rPr>
          <w:rFonts w:cs="Times New Roman"/>
          <w:bCs/>
          <w:szCs w:val="24"/>
        </w:rPr>
        <w:t xml:space="preserve"> </w:t>
      </w:r>
      <w:r w:rsidR="005A1B36">
        <w:rPr>
          <w:rFonts w:cs="Times New Roman"/>
          <w:bCs/>
          <w:szCs w:val="24"/>
        </w:rPr>
        <w:t>p</w:t>
      </w:r>
      <w:r w:rsidR="00D31DDB">
        <w:rPr>
          <w:rFonts w:cs="Times New Roman"/>
          <w:bCs/>
          <w:szCs w:val="24"/>
        </w:rPr>
        <w:t>ara Claramunt (2002), la violencia sexual se define como “cualquier conducta sexual, directa o indirecta, que ocurra en contra de la voluntad de la otra persona o cuando ella no está en condiciones de consentir”.</w:t>
      </w:r>
    </w:p>
    <w:p w14:paraId="5D4F7008" w14:textId="77777777" w:rsidR="00E10342" w:rsidRDefault="00D31DDB" w:rsidP="002358F9">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Este concepto, desde la normativa legal, se establece desde la Ley N.º 7586, artículo 2 d, como sigue:</w:t>
      </w:r>
    </w:p>
    <w:p w14:paraId="4B89B840" w14:textId="77777777" w:rsidR="00E10342" w:rsidRDefault="00D31DDB" w:rsidP="002358F9">
      <w:pPr>
        <w:pStyle w:val="Standard"/>
        <w:spacing w:after="0" w:line="360" w:lineRule="auto"/>
        <w:ind w:left="709"/>
        <w:jc w:val="both"/>
      </w:pPr>
      <w:r>
        <w:rPr>
          <w:rFonts w:ascii="Times New Roman" w:hAnsi="Times New Roman" w:cs="Times New Roman"/>
          <w:bCs/>
          <w:sz w:val="24"/>
          <w:szCs w:val="24"/>
        </w:rPr>
        <w:t>Acción que obliga a una persona a mantener contacto sexualizado, físico o verbal, o participar en otras interacciones sexuales mediante el uso de la fuerza, intimidación, amenaza o cualquier otro mecanismo que anule o limite la voluntad personal. Igualmente, se considerará violencia sexual el hecho de que la persona agresora obligue a la agredida a realizar alguno de estos actos con terceras personas</w:t>
      </w:r>
      <w:bookmarkStart w:id="209" w:name="_Hlk46355840"/>
      <w:r>
        <w:rPr>
          <w:rFonts w:ascii="Times New Roman" w:hAnsi="Times New Roman" w:cs="Times New Roman"/>
          <w:bCs/>
          <w:sz w:val="24"/>
          <w:szCs w:val="24"/>
        </w:rPr>
        <w:t>.</w:t>
      </w:r>
      <w:bookmarkEnd w:id="209"/>
      <w:r>
        <w:rPr>
          <w:rFonts w:ascii="Times New Roman" w:hAnsi="Times New Roman" w:cs="Times New Roman"/>
          <w:bCs/>
          <w:sz w:val="24"/>
          <w:szCs w:val="24"/>
        </w:rPr>
        <w:t xml:space="preserve"> (Ley N.º 7586, art. 2 d)</w:t>
      </w:r>
    </w:p>
    <w:p w14:paraId="7D6E44D1" w14:textId="184DD848" w:rsidR="00E10342" w:rsidRDefault="00D31DDB" w:rsidP="00DF5E42">
      <w:pPr>
        <w:pStyle w:val="Standard"/>
        <w:spacing w:after="0" w:line="360" w:lineRule="auto"/>
        <w:ind w:firstLine="709"/>
        <w:jc w:val="both"/>
      </w:pPr>
      <w:r>
        <w:rPr>
          <w:rFonts w:ascii="Times New Roman" w:hAnsi="Times New Roman" w:cs="Times New Roman"/>
          <w:bCs/>
          <w:sz w:val="24"/>
          <w:szCs w:val="24"/>
        </w:rPr>
        <w:lastRenderedPageBreak/>
        <w:t>El concepto de violencia sexual</w:t>
      </w:r>
      <w:r w:rsidR="005F159A">
        <w:rPr>
          <w:rFonts w:ascii="Times New Roman" w:hAnsi="Times New Roman" w:cs="Times New Roman"/>
          <w:bCs/>
          <w:sz w:val="24"/>
          <w:szCs w:val="24"/>
        </w:rPr>
        <w:t xml:space="preserve"> </w:t>
      </w:r>
      <w:r>
        <w:rPr>
          <w:rFonts w:ascii="Times New Roman" w:hAnsi="Times New Roman" w:cs="Times New Roman"/>
          <w:bCs/>
          <w:sz w:val="24"/>
          <w:szCs w:val="24"/>
        </w:rPr>
        <w:t xml:space="preserve">con relación al de consentimiento que nos refiere </w:t>
      </w:r>
      <w:proofErr w:type="spellStart"/>
      <w:r>
        <w:rPr>
          <w:rFonts w:ascii="Times New Roman" w:hAnsi="Times New Roman" w:cs="Times New Roman"/>
          <w:bCs/>
          <w:sz w:val="24"/>
          <w:szCs w:val="24"/>
        </w:rPr>
        <w:t>Claramont</w:t>
      </w:r>
      <w:proofErr w:type="spellEnd"/>
      <w:r>
        <w:rPr>
          <w:rFonts w:ascii="Times New Roman" w:hAnsi="Times New Roman" w:cs="Times New Roman"/>
          <w:bCs/>
          <w:sz w:val="24"/>
          <w:szCs w:val="24"/>
        </w:rPr>
        <w:t xml:space="preserve"> (2002)</w:t>
      </w:r>
      <w:r w:rsidR="005F159A">
        <w:rPr>
          <w:rFonts w:ascii="Times New Roman" w:hAnsi="Times New Roman" w:cs="Times New Roman"/>
          <w:bCs/>
          <w:sz w:val="24"/>
          <w:szCs w:val="24"/>
        </w:rPr>
        <w:t xml:space="preserve"> </w:t>
      </w:r>
      <w:r>
        <w:rPr>
          <w:rFonts w:ascii="Times New Roman" w:hAnsi="Times New Roman" w:cs="Times New Roman"/>
          <w:bCs/>
          <w:sz w:val="24"/>
          <w:szCs w:val="24"/>
        </w:rPr>
        <w:t>no ha sido fácil de aceptar a nivel sociocultural por los roles y</w:t>
      </w:r>
      <w:r w:rsidR="005F159A">
        <w:rPr>
          <w:rFonts w:ascii="Times New Roman" w:hAnsi="Times New Roman" w:cs="Times New Roman"/>
          <w:bCs/>
          <w:sz w:val="24"/>
          <w:szCs w:val="24"/>
        </w:rPr>
        <w:t xml:space="preserve"> </w:t>
      </w:r>
      <w:r>
        <w:rPr>
          <w:rFonts w:ascii="Times New Roman" w:hAnsi="Times New Roman" w:cs="Times New Roman"/>
          <w:bCs/>
          <w:sz w:val="24"/>
          <w:szCs w:val="24"/>
        </w:rPr>
        <w:t>estereotipos de género, así como por el matrimonio, en que se considera que la mujer siempre debe consentir la relación sexual así como el esposo o compañero a exigirlo:</w:t>
      </w:r>
      <w:r w:rsidR="005F159A">
        <w:rPr>
          <w:rFonts w:ascii="Times New Roman" w:hAnsi="Times New Roman" w:cs="Times New Roman"/>
          <w:bCs/>
          <w:sz w:val="24"/>
          <w:szCs w:val="24"/>
        </w:rPr>
        <w:t xml:space="preserve"> </w:t>
      </w:r>
      <w:r>
        <w:rPr>
          <w:rFonts w:ascii="Times New Roman" w:hAnsi="Times New Roman" w:cs="Times New Roman"/>
          <w:bCs/>
          <w:sz w:val="24"/>
          <w:szCs w:val="24"/>
        </w:rPr>
        <w:t xml:space="preserve">“(…) el consentimiento sólo es posible cuando existe una relación de igualdad entre dos personas (…) El consentimiento es imposible, por tanto, en relaciones de claro poder y control de un ser humano sobre otro”. </w:t>
      </w:r>
      <w:r w:rsidR="00B61987">
        <w:rPr>
          <w:rFonts w:ascii="Times New Roman" w:hAnsi="Times New Roman" w:cs="Times New Roman"/>
          <w:bCs/>
          <w:sz w:val="24"/>
          <w:szCs w:val="24"/>
        </w:rPr>
        <w:t>(p.31)</w:t>
      </w:r>
    </w:p>
    <w:p w14:paraId="0A52F067" w14:textId="7E596DF6" w:rsidR="00E10342" w:rsidRDefault="00D31DDB" w:rsidP="00DF5E42">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Esta situación de V. I. contra la mujer a la fecha se ha logrado visualizar al amparo del reconocimiento de los derechos y libertades sexuales de las mujeres (acto sexual, métodos de planificación y procreación).</w:t>
      </w:r>
    </w:p>
    <w:p w14:paraId="26B1EF5E" w14:textId="554B17CD" w:rsidR="00D276AE" w:rsidRDefault="005A1B36" w:rsidP="005A1B36">
      <w:pPr>
        <w:rPr>
          <w:rFonts w:cs="Times New Roman"/>
          <w:bCs/>
          <w:szCs w:val="24"/>
        </w:rPr>
      </w:pPr>
      <w:r w:rsidRPr="005A1B36">
        <w:rPr>
          <w:rFonts w:cs="Times New Roman"/>
          <w:b/>
          <w:szCs w:val="24"/>
        </w:rPr>
        <w:t xml:space="preserve">3.6.2.3 </w:t>
      </w:r>
      <w:r w:rsidR="00D31DDB" w:rsidRPr="005A1B36">
        <w:rPr>
          <w:rFonts w:cs="Times New Roman"/>
          <w:b/>
          <w:szCs w:val="24"/>
        </w:rPr>
        <w:t>Violencia psicológica y emocional</w:t>
      </w:r>
      <w:r w:rsidR="00D31DDB" w:rsidRPr="005A1B36">
        <w:rPr>
          <w:rFonts w:cs="Times New Roman"/>
          <w:bCs/>
          <w:szCs w:val="24"/>
        </w:rPr>
        <w:t>:</w:t>
      </w:r>
      <w:r>
        <w:rPr>
          <w:rFonts w:cs="Times New Roman"/>
          <w:bCs/>
          <w:szCs w:val="24"/>
        </w:rPr>
        <w:t xml:space="preserve"> e</w:t>
      </w:r>
      <w:r w:rsidR="00D31DDB">
        <w:rPr>
          <w:rFonts w:cs="Times New Roman"/>
          <w:bCs/>
          <w:szCs w:val="24"/>
        </w:rPr>
        <w:t>ste tipo de V. I. es utilizada con el afán de subordinar a otra persona mediante la degradación y la intimidación.</w:t>
      </w:r>
      <w:r w:rsidR="005F159A">
        <w:rPr>
          <w:rFonts w:cs="Times New Roman"/>
          <w:bCs/>
          <w:szCs w:val="24"/>
        </w:rPr>
        <w:t xml:space="preserve"> </w:t>
      </w:r>
      <w:r w:rsidR="00D31DDB">
        <w:rPr>
          <w:rFonts w:cs="Times New Roman"/>
          <w:bCs/>
          <w:szCs w:val="24"/>
        </w:rPr>
        <w:t xml:space="preserve">La Ley </w:t>
      </w:r>
      <w:r w:rsidR="00596931">
        <w:rPr>
          <w:rFonts w:cs="Times New Roman"/>
          <w:bCs/>
          <w:szCs w:val="24"/>
        </w:rPr>
        <w:t>C</w:t>
      </w:r>
      <w:r w:rsidR="00D31DDB">
        <w:rPr>
          <w:rFonts w:cs="Times New Roman"/>
          <w:bCs/>
          <w:szCs w:val="24"/>
        </w:rPr>
        <w:t>ontra la Violencia Doméstica, en su artículo 2, inciso b, la define como sigue:</w:t>
      </w:r>
    </w:p>
    <w:p w14:paraId="319CB156" w14:textId="0C7A808B" w:rsidR="00E10342" w:rsidRDefault="00D31DDB" w:rsidP="005A1B36">
      <w:pPr>
        <w:pStyle w:val="Standard"/>
        <w:spacing w:after="0" w:line="360" w:lineRule="auto"/>
        <w:ind w:left="709"/>
        <w:jc w:val="both"/>
      </w:pPr>
      <w:r>
        <w:rPr>
          <w:rFonts w:ascii="Times New Roman" w:hAnsi="Times New Roman" w:cs="Times New Roman"/>
          <w:bCs/>
          <w:sz w:val="24"/>
          <w:szCs w:val="24"/>
        </w:rPr>
        <w:t>Acción u omisión destinada a degradar o controlar las acciones, comportamientos, creencias y decisiones de otras personas, por medio de intimidación, manipulación, amenaza, directa o indirecta, humillación, aislamiento o cualquier otra conducta que implique un perjuicio en la salud</w:t>
      </w:r>
      <w:r>
        <w:rPr>
          <w:rFonts w:ascii="Verdana!important" w:hAnsi="Verdana!important"/>
          <w:color w:val="000000"/>
          <w:sz w:val="20"/>
          <w:szCs w:val="20"/>
        </w:rPr>
        <w:t xml:space="preserve"> p</w:t>
      </w:r>
      <w:r>
        <w:rPr>
          <w:rFonts w:ascii="Times New Roman" w:hAnsi="Times New Roman" w:cs="Times New Roman"/>
          <w:color w:val="000000"/>
          <w:sz w:val="24"/>
          <w:szCs w:val="24"/>
        </w:rPr>
        <w:t>sicológica, la autodeterminación o el desarrollo personal</w:t>
      </w:r>
      <w:r>
        <w:rPr>
          <w:rFonts w:ascii="Times New Roman" w:hAnsi="Times New Roman" w:cs="Times New Roman"/>
          <w:bCs/>
          <w:sz w:val="24"/>
          <w:szCs w:val="24"/>
        </w:rPr>
        <w:t>.</w:t>
      </w:r>
      <w:r w:rsidR="009453C4">
        <w:rPr>
          <w:rFonts w:ascii="Times New Roman" w:hAnsi="Times New Roman" w:cs="Times New Roman"/>
          <w:bCs/>
          <w:sz w:val="24"/>
          <w:szCs w:val="24"/>
        </w:rPr>
        <w:t xml:space="preserve"> (Ley N.º 7586, art. 2, inciso b)</w:t>
      </w:r>
    </w:p>
    <w:p w14:paraId="72EFEA0E" w14:textId="1FDBB531" w:rsidR="00E10342" w:rsidRPr="005A1B36" w:rsidRDefault="005A1B36" w:rsidP="005A1B36">
      <w:pPr>
        <w:rPr>
          <w:rFonts w:cs="Times New Roman"/>
          <w:b/>
          <w:szCs w:val="24"/>
        </w:rPr>
      </w:pPr>
      <w:r w:rsidRPr="005A1B36">
        <w:rPr>
          <w:rFonts w:cs="Times New Roman"/>
          <w:b/>
          <w:szCs w:val="24"/>
        </w:rPr>
        <w:t xml:space="preserve">3.6.2.4 </w:t>
      </w:r>
      <w:r w:rsidR="00D31DDB" w:rsidRPr="005A1B36">
        <w:rPr>
          <w:rFonts w:cs="Times New Roman"/>
          <w:b/>
          <w:szCs w:val="24"/>
        </w:rPr>
        <w:t>Violencia patrimonial:</w:t>
      </w:r>
      <w:r>
        <w:rPr>
          <w:rFonts w:cs="Times New Roman"/>
          <w:b/>
          <w:szCs w:val="24"/>
        </w:rPr>
        <w:t xml:space="preserve"> </w:t>
      </w:r>
      <w:r>
        <w:rPr>
          <w:rFonts w:cs="Times New Roman"/>
          <w:bCs/>
          <w:szCs w:val="24"/>
        </w:rPr>
        <w:t>l</w:t>
      </w:r>
      <w:r w:rsidR="00D31DDB">
        <w:rPr>
          <w:rFonts w:cs="Times New Roman"/>
          <w:bCs/>
          <w:szCs w:val="24"/>
        </w:rPr>
        <w:t>a Ley contra la Violencia Doméstica, Ley N.º 7586, define esta V. I. en su artículo 2 inciso e, como sigue:</w:t>
      </w:r>
    </w:p>
    <w:p w14:paraId="1E76B992" w14:textId="15ED6B46" w:rsidR="00E10342" w:rsidRDefault="00D31DDB" w:rsidP="005A1B36">
      <w:pPr>
        <w:pStyle w:val="Standard"/>
        <w:spacing w:after="0" w:line="360" w:lineRule="auto"/>
        <w:ind w:left="709"/>
        <w:jc w:val="both"/>
      </w:pPr>
      <w:r>
        <w:rPr>
          <w:rFonts w:ascii="Times New Roman" w:hAnsi="Times New Roman" w:cs="Times New Roman"/>
          <w:bCs/>
          <w:sz w:val="24"/>
          <w:szCs w:val="24"/>
        </w:rPr>
        <w:t>Acción u omisión que implica daño, pérdida, transformación, sustracción, destrucción, retención o distracción de objetos, instrumentos de trabajo, documentos personales, bienes, valores, derechos o recursos económicos destinados a satisfacer las necesidades de alguna de las personas mencionadas en el inciso a) anterior correspondiente a la definición de violencia anteriormente citada.</w:t>
      </w:r>
      <w:r w:rsidR="009453C4">
        <w:rPr>
          <w:rFonts w:ascii="Times New Roman" w:hAnsi="Times New Roman" w:cs="Times New Roman"/>
          <w:bCs/>
          <w:sz w:val="24"/>
          <w:szCs w:val="24"/>
        </w:rPr>
        <w:t xml:space="preserve"> (Ley N.º 7586, art. 2, inciso e)</w:t>
      </w:r>
    </w:p>
    <w:p w14:paraId="4BB9D2CE" w14:textId="77777777" w:rsidR="00E10342" w:rsidRPr="005A1B36" w:rsidRDefault="00D31DDB" w:rsidP="005A1B36">
      <w:pPr>
        <w:pStyle w:val="Ttulo3"/>
      </w:pPr>
      <w:bookmarkStart w:id="210" w:name="__RefHeading__27475_1894434827"/>
      <w:bookmarkStart w:id="211" w:name="_Toc61276995"/>
      <w:bookmarkStart w:id="212" w:name="_Toc62463346"/>
      <w:bookmarkStart w:id="213" w:name="_Toc62476080"/>
      <w:bookmarkStart w:id="214" w:name="_Toc62476287"/>
      <w:bookmarkStart w:id="215" w:name="_Toc63688953"/>
      <w:r w:rsidRPr="005A1B36">
        <w:t>3.2.7 Ciclo de la V. D./ V. I.</w:t>
      </w:r>
      <w:bookmarkEnd w:id="210"/>
      <w:bookmarkEnd w:id="211"/>
      <w:bookmarkEnd w:id="212"/>
      <w:bookmarkEnd w:id="213"/>
      <w:bookmarkEnd w:id="214"/>
      <w:bookmarkEnd w:id="215"/>
    </w:p>
    <w:p w14:paraId="4C1183F5" w14:textId="77777777" w:rsidR="00E10342" w:rsidRDefault="00D31DDB" w:rsidP="005A1B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Mediante el denominado Ciclo de la Violencia Doméstica o Violencia Intrafamiliar, se explica la violencia que sucede en una relación sentimental presente o pasada. Según Eleonor Walker (1979), estudiado y citado por Cuervo y Martínez (2013), este ciclo contiene las siguientes fases:</w:t>
      </w:r>
    </w:p>
    <w:p w14:paraId="57002452" w14:textId="77777777" w:rsidR="00E10342" w:rsidRDefault="00D31DDB" w:rsidP="005A1B36">
      <w:pPr>
        <w:pStyle w:val="Prrafodelista"/>
        <w:numPr>
          <w:ilvl w:val="0"/>
          <w:numId w:val="28"/>
        </w:numPr>
        <w:spacing w:after="0" w:line="360" w:lineRule="auto"/>
        <w:ind w:left="777" w:hanging="357"/>
        <w:jc w:val="both"/>
      </w:pPr>
      <w:r>
        <w:rPr>
          <w:rFonts w:ascii="Times New Roman" w:hAnsi="Times New Roman" w:cs="Times New Roman"/>
          <w:bCs/>
          <w:sz w:val="24"/>
          <w:szCs w:val="24"/>
        </w:rPr>
        <w:lastRenderedPageBreak/>
        <w:t>Fase de acumulación de tensión: en ella se produce una escalada gradual de tensión que se caracteriza por peleas constantes y actos violentos. Es de duración determinada, pueden ser semanas, meses o años. Se evidencian celos, gritos o pelas pequeñas; insultos o violencia verbal que la víctima interpreta como controlables, mientras que el agresor experimenta cambios de ánimo repentinos, se enfada con facilidad, se muestra tenso e irritado.</w:t>
      </w:r>
    </w:p>
    <w:p w14:paraId="3B7E4138" w14:textId="77777777" w:rsidR="00E10342" w:rsidRDefault="00D31DDB" w:rsidP="005A1B36">
      <w:pPr>
        <w:pStyle w:val="Prrafodelista"/>
        <w:numPr>
          <w:ilvl w:val="0"/>
          <w:numId w:val="2"/>
        </w:numPr>
        <w:spacing w:after="0" w:line="360" w:lineRule="auto"/>
        <w:ind w:left="777" w:hanging="357"/>
        <w:jc w:val="both"/>
        <w:rPr>
          <w:rFonts w:ascii="Times New Roman" w:hAnsi="Times New Roman" w:cs="Times New Roman"/>
          <w:bCs/>
          <w:sz w:val="24"/>
          <w:szCs w:val="24"/>
        </w:rPr>
      </w:pPr>
      <w:r>
        <w:rPr>
          <w:rFonts w:ascii="Times New Roman" w:hAnsi="Times New Roman" w:cs="Times New Roman"/>
          <w:bCs/>
          <w:sz w:val="24"/>
          <w:szCs w:val="24"/>
        </w:rPr>
        <w:t>Fase de la agresión: es la fase más breve. Estalla la violencia, hay falta de control absoluto y se producen las agresiones físicas, sexuales y psicológicas. La víctima experimenta ansiedad, tiende a aislarse y a sentirse impotente, y suelen pasar varios días antes de que pida ayuda.</w:t>
      </w:r>
    </w:p>
    <w:p w14:paraId="7598DC9A" w14:textId="13882A3F" w:rsidR="00E10342" w:rsidRDefault="00D31DDB" w:rsidP="005A1B36">
      <w:pPr>
        <w:pStyle w:val="Prrafodelista"/>
        <w:numPr>
          <w:ilvl w:val="0"/>
          <w:numId w:val="2"/>
        </w:numPr>
        <w:spacing w:after="0" w:line="360" w:lineRule="auto"/>
        <w:ind w:left="777" w:hanging="357"/>
        <w:jc w:val="both"/>
      </w:pPr>
      <w:r>
        <w:rPr>
          <w:rFonts w:ascii="Times New Roman" w:hAnsi="Times New Roman" w:cs="Times New Roman"/>
          <w:bCs/>
          <w:sz w:val="24"/>
          <w:szCs w:val="24"/>
        </w:rPr>
        <w:t>Fase de la conciliación: el agresor suele pedir perdón y utiliza estrategias de manipulación manifestando a la víctima que el comportamiento agresivo no volverá a ocurrir. La aceptación de regalos, invitaciones o promesas refuerzan la conducta violenta del agresor, mientras que la víctima piensa que se trata de un hecho aislado y que no volverá a ocurrir. La fase termina cuando acaba la calma y comienzan de nuevo pequeños incidentes y maltratos.</w:t>
      </w:r>
      <w:r w:rsidR="00B870BC">
        <w:rPr>
          <w:rFonts w:ascii="Times New Roman" w:hAnsi="Times New Roman" w:cs="Times New Roman"/>
          <w:bCs/>
          <w:sz w:val="24"/>
          <w:szCs w:val="24"/>
        </w:rPr>
        <w:t xml:space="preserve"> </w:t>
      </w:r>
      <w:r w:rsidR="001E1E7E">
        <w:rPr>
          <w:rFonts w:ascii="Times New Roman" w:hAnsi="Times New Roman" w:cs="Times New Roman"/>
          <w:bCs/>
          <w:sz w:val="24"/>
          <w:szCs w:val="24"/>
        </w:rPr>
        <w:t>(p.1)</w:t>
      </w:r>
    </w:p>
    <w:p w14:paraId="0454094B" w14:textId="381BB61A" w:rsidR="00E10342" w:rsidRDefault="00D31DDB" w:rsidP="005A1B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 le llama ciclo de V. D. o V. I. debido a que las fases se repiten constantemente y las agresiones son cada vez más frecuentes y gravosas. Romper con el ciclo es considerado complicado, debido a que implica romper con condicionantes sociales, religiosas, culturales y con la socialización patriarcal, que es el fundamento de estas relaciones violentas y desiguales entre las mujeres y sus parejas o exparejas sentimentales.</w:t>
      </w:r>
    </w:p>
    <w:p w14:paraId="27D00F3E" w14:textId="77777777" w:rsidR="00E10342" w:rsidRDefault="00D31DDB" w:rsidP="005A1B36">
      <w:pPr>
        <w:pStyle w:val="Ttulo3"/>
      </w:pPr>
      <w:bookmarkStart w:id="216" w:name="__RefHeading__27477_1894434827"/>
      <w:bookmarkStart w:id="217" w:name="_Toc61276996"/>
      <w:bookmarkStart w:id="218" w:name="_Toc62463347"/>
      <w:bookmarkStart w:id="219" w:name="_Toc62476081"/>
      <w:bookmarkStart w:id="220" w:name="_Toc62476288"/>
      <w:bookmarkStart w:id="221" w:name="_Toc63688954"/>
      <w:r>
        <w:t>3.2.8 Víctimas</w:t>
      </w:r>
      <w:bookmarkEnd w:id="216"/>
      <w:bookmarkEnd w:id="217"/>
      <w:bookmarkEnd w:id="218"/>
      <w:bookmarkEnd w:id="219"/>
      <w:bookmarkEnd w:id="220"/>
      <w:bookmarkEnd w:id="221"/>
    </w:p>
    <w:p w14:paraId="48AAAAF1" w14:textId="0CA75F8B" w:rsidR="00E10342" w:rsidRDefault="00D31DDB" w:rsidP="005A1B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Este concepto aportará al presente trabajo el conocimiento necesario para saber qué ha dicho la Asamblea General de la ONU (1985) en la Declaración sobre los Principios Fundamentales de Justicia para las Víctimas de Delitos y de Abusos de Poder, sobre a quiénes se les debe considerar víctimas, como sigue:</w:t>
      </w:r>
    </w:p>
    <w:p w14:paraId="566CBA4A" w14:textId="08E74450" w:rsidR="00E10342" w:rsidRDefault="00D31DDB" w:rsidP="005A1B36">
      <w:pPr>
        <w:pStyle w:val="Standard"/>
        <w:spacing w:after="0" w:line="360" w:lineRule="auto"/>
        <w:ind w:left="709"/>
        <w:jc w:val="both"/>
      </w:pPr>
      <w:r>
        <w:rPr>
          <w:rFonts w:ascii="Times New Roman" w:hAnsi="Times New Roman" w:cs="Times New Roman"/>
          <w:bCs/>
          <w:sz w:val="24"/>
          <w:szCs w:val="24"/>
        </w:rPr>
        <w:t>[son]"víctimas" las personas que, individual o colectivamente, hayan sufrido daños, inclusive lesiones físicas o mentales, sufrimiento emocional, pérdida financiera o menoscabo sustancial de los derechos fundamentales, como consecuencia de acciones u omisiones que violen la legislación penal vigente en los Estados Miembros, incluida la que proscribe el abuso de poder.</w:t>
      </w:r>
      <w:r w:rsidR="00B870BC">
        <w:rPr>
          <w:rFonts w:ascii="Times New Roman" w:hAnsi="Times New Roman" w:cs="Times New Roman"/>
          <w:bCs/>
          <w:sz w:val="24"/>
          <w:szCs w:val="24"/>
        </w:rPr>
        <w:t xml:space="preserve"> </w:t>
      </w:r>
      <w:r w:rsidR="001E1E7E">
        <w:rPr>
          <w:rFonts w:ascii="Times New Roman" w:hAnsi="Times New Roman" w:cs="Times New Roman"/>
          <w:bCs/>
          <w:sz w:val="24"/>
          <w:szCs w:val="24"/>
        </w:rPr>
        <w:t>(p.1)</w:t>
      </w:r>
    </w:p>
    <w:p w14:paraId="24338173" w14:textId="77777777" w:rsidR="00E10342" w:rsidRDefault="00D31DDB" w:rsidP="005A1B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lastRenderedPageBreak/>
        <w:t>A su vez, las Reglas de Brasilia, específicamente en la N.°10, se estipula que el término víctima también podrá incluir, en su caso, a la familia inmediata o a las personas que están a cargo de la víctima directa (XIV Cumbre Judicial Iberoamericana, 2008).</w:t>
      </w:r>
    </w:p>
    <w:p w14:paraId="66F9E713" w14:textId="77777777" w:rsidR="00E10342" w:rsidRDefault="00D31DDB" w:rsidP="005A1B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Por tanto, bajo estas líneas, surge la posibilidad de valorar el concepto de vulnerabilidad cognitiva como efecto directo de lo que la mujer vive en un ciclo de violencia intrafamiliar por parte de su pareja o expareja sentimental, además como forma de diferenciación hacia los hombres, ya que es un elemento que permitiría tener una visión más amplia de la construcción social.</w:t>
      </w:r>
    </w:p>
    <w:p w14:paraId="07509D6F" w14:textId="77777777" w:rsidR="005A1B36" w:rsidRDefault="005A1B36">
      <w:pPr>
        <w:pStyle w:val="Ttulo1"/>
        <w:rPr>
          <w:szCs w:val="28"/>
        </w:rPr>
        <w:sectPr w:rsidR="005A1B36" w:rsidSect="007C0BE3">
          <w:headerReference w:type="default" r:id="rId17"/>
          <w:pgSz w:w="12240" w:h="15840"/>
          <w:pgMar w:top="1418" w:right="1418" w:bottom="1418" w:left="1418" w:header="709" w:footer="709" w:gutter="680"/>
          <w:cols w:space="720"/>
        </w:sectPr>
      </w:pPr>
      <w:bookmarkStart w:id="222" w:name="_Toc61276997"/>
      <w:bookmarkStart w:id="223" w:name="__RefHeading__27481_1894434827"/>
      <w:bookmarkStart w:id="224" w:name="_Toc62463348"/>
    </w:p>
    <w:p w14:paraId="7BB8FDC3" w14:textId="1826106B" w:rsidR="00E10342" w:rsidRDefault="00D31DDB" w:rsidP="00E43236">
      <w:pPr>
        <w:pStyle w:val="Ttulo1"/>
      </w:pPr>
      <w:bookmarkStart w:id="225" w:name="_Toc62476082"/>
      <w:bookmarkStart w:id="226" w:name="_Toc62476289"/>
      <w:bookmarkStart w:id="227" w:name="_Toc63688955"/>
      <w:r>
        <w:lastRenderedPageBreak/>
        <w:t>Capítulo IV</w:t>
      </w:r>
      <w:bookmarkEnd w:id="222"/>
      <w:bookmarkEnd w:id="223"/>
      <w:bookmarkEnd w:id="224"/>
      <w:bookmarkEnd w:id="225"/>
      <w:bookmarkEnd w:id="226"/>
      <w:bookmarkEnd w:id="227"/>
    </w:p>
    <w:p w14:paraId="02EC2977" w14:textId="77777777" w:rsidR="00E10342" w:rsidRDefault="00D31DDB" w:rsidP="00E43236">
      <w:pPr>
        <w:pStyle w:val="Ttulo1"/>
      </w:pPr>
      <w:bookmarkStart w:id="228" w:name="__RefHeading__27483_1894434827"/>
      <w:bookmarkStart w:id="229" w:name="_Toc61276998"/>
      <w:bookmarkStart w:id="230" w:name="_Toc62463349"/>
      <w:bookmarkStart w:id="231" w:name="_Toc62476083"/>
      <w:bookmarkStart w:id="232" w:name="_Toc62476290"/>
      <w:bookmarkStart w:id="233" w:name="_Toc63688956"/>
      <w:r>
        <w:t>Estrategia Metodológica</w:t>
      </w:r>
      <w:bookmarkEnd w:id="228"/>
      <w:bookmarkEnd w:id="229"/>
      <w:bookmarkEnd w:id="230"/>
      <w:bookmarkEnd w:id="231"/>
      <w:bookmarkEnd w:id="232"/>
      <w:bookmarkEnd w:id="233"/>
    </w:p>
    <w:p w14:paraId="037561F7" w14:textId="5FCF925E" w:rsidR="00E10342" w:rsidRPr="00E43236" w:rsidRDefault="00E43236" w:rsidP="00E43236">
      <w:pPr>
        <w:pStyle w:val="Ttulo2"/>
        <w:rPr>
          <w:bCs/>
          <w:szCs w:val="24"/>
        </w:rPr>
      </w:pPr>
      <w:bookmarkStart w:id="234" w:name="_Toc61277000"/>
      <w:bookmarkStart w:id="235" w:name="__RefHeading__27487_1894434827"/>
      <w:bookmarkStart w:id="236" w:name="_Toc62463351"/>
      <w:bookmarkStart w:id="237" w:name="_Toc62476085"/>
      <w:bookmarkStart w:id="238" w:name="_Toc62476292"/>
      <w:bookmarkStart w:id="239" w:name="_Toc63688957"/>
      <w:r w:rsidRPr="00E43236">
        <w:t>4.</w:t>
      </w:r>
      <w:r w:rsidR="00B870BC">
        <w:t>1</w:t>
      </w:r>
      <w:r w:rsidRPr="00E43236">
        <w:t xml:space="preserve"> </w:t>
      </w:r>
      <w:r w:rsidR="00D31DDB">
        <w:t>Estrategia Metodológica</w:t>
      </w:r>
      <w:bookmarkEnd w:id="234"/>
      <w:bookmarkEnd w:id="235"/>
      <w:bookmarkEnd w:id="236"/>
      <w:bookmarkEnd w:id="237"/>
      <w:bookmarkEnd w:id="238"/>
      <w:bookmarkEnd w:id="239"/>
    </w:p>
    <w:p w14:paraId="1A42BBE1" w14:textId="3F434EF1"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Este apartado consiste en la explicación breve y concisa de los elementos utilizados para el análisis y abordaje del tema de investigación, basado en la aplicación de los conceptos expuestos en el marco </w:t>
      </w:r>
      <w:r w:rsidR="00437E41">
        <w:rPr>
          <w:rFonts w:ascii="Times New Roman" w:hAnsi="Times New Roman" w:cs="Times New Roman"/>
          <w:bCs/>
          <w:sz w:val="24"/>
          <w:szCs w:val="24"/>
        </w:rPr>
        <w:t xml:space="preserve">teórico </w:t>
      </w:r>
      <w:r>
        <w:rPr>
          <w:rFonts w:ascii="Times New Roman" w:hAnsi="Times New Roman" w:cs="Times New Roman"/>
          <w:bCs/>
          <w:sz w:val="24"/>
          <w:szCs w:val="24"/>
        </w:rPr>
        <w:t>del documento.</w:t>
      </w:r>
    </w:p>
    <w:p w14:paraId="4886A7C9" w14:textId="143843F4" w:rsidR="00E10342" w:rsidRPr="00E43236" w:rsidRDefault="00D31DDB" w:rsidP="00E43236">
      <w:pPr>
        <w:pStyle w:val="Ttulo2"/>
      </w:pPr>
      <w:bookmarkStart w:id="240" w:name="__RefHeading__27489_1894434827"/>
      <w:bookmarkStart w:id="241" w:name="_Toc61277001"/>
      <w:bookmarkStart w:id="242" w:name="_Toc33168871"/>
      <w:bookmarkStart w:id="243" w:name="_Toc23806664"/>
      <w:bookmarkStart w:id="244" w:name="_Toc20680044"/>
      <w:bookmarkStart w:id="245" w:name="_Toc62463352"/>
      <w:bookmarkStart w:id="246" w:name="_Toc62476086"/>
      <w:bookmarkStart w:id="247" w:name="_Toc62476293"/>
      <w:bookmarkStart w:id="248" w:name="_Toc63688958"/>
      <w:r w:rsidRPr="00E43236">
        <w:t>4.</w:t>
      </w:r>
      <w:r w:rsidR="002029C9">
        <w:t>2</w:t>
      </w:r>
      <w:r w:rsidRPr="00E43236">
        <w:t xml:space="preserve"> Ubicación </w:t>
      </w:r>
      <w:proofErr w:type="gramStart"/>
      <w:r w:rsidRPr="00E43236">
        <w:t>Espacio-temporal</w:t>
      </w:r>
      <w:bookmarkEnd w:id="240"/>
      <w:bookmarkEnd w:id="241"/>
      <w:bookmarkEnd w:id="242"/>
      <w:bookmarkEnd w:id="243"/>
      <w:bookmarkEnd w:id="244"/>
      <w:bookmarkEnd w:id="245"/>
      <w:bookmarkEnd w:id="246"/>
      <w:bookmarkEnd w:id="247"/>
      <w:bookmarkEnd w:id="248"/>
      <w:proofErr w:type="gramEnd"/>
    </w:p>
    <w:p w14:paraId="51839F3A" w14:textId="77777777"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Para comprender mejor la estrategia metodológica, es fundamental delimitar el lugar, así como la parte temporal en la que se circunscribe la propuesta de investigación a la provincia de San José, por ser considerada esta uno de los centros donde se realizan las principales actividades políticas, económicas, sociales, y culturales, lo cual transforma a la provincia en un espacio de transcendencia para el Gran Área Metropolitana, siendo así una zona donde fluye y converge gran cantidad de actores que residen temporal o permanentemente en la capital de Costa Rica.</w:t>
      </w:r>
    </w:p>
    <w:p w14:paraId="41805866" w14:textId="77777777"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De acuerdo con el Instituto Nacional de Estadística y Censos (INEC), en el último censo realizado en el 2011, se estima que, para el 30 de junio del año 2020, residan en el país 5.111.221 personas, de las cuales 1.661.547 habiten en la provincia de San José, lo que representaría que la capital alojaría el 32,5% de la población total, la cual simboliza la mayor cantidad de concentración de población del país.</w:t>
      </w:r>
    </w:p>
    <w:p w14:paraId="73CC2335" w14:textId="4034FBFB" w:rsidR="00E10342" w:rsidRDefault="00D31DDB" w:rsidP="00E43236">
      <w:pPr>
        <w:pStyle w:val="Standard"/>
        <w:spacing w:after="0" w:line="360" w:lineRule="auto"/>
        <w:ind w:firstLine="709"/>
        <w:jc w:val="both"/>
      </w:pPr>
      <w:r>
        <w:rPr>
          <w:rFonts w:ascii="Times New Roman" w:hAnsi="Times New Roman" w:cs="Times New Roman"/>
          <w:bCs/>
          <w:sz w:val="24"/>
          <w:szCs w:val="24"/>
        </w:rPr>
        <w:t>Dicha población, en su mayor parte, es asumida en materia judicial (incluida la materia por V. D.) por el II Circuito Judicial de San José, debido a que atiende población proveniente de seis de los 20</w:t>
      </w:r>
      <w:r w:rsidR="00071417">
        <w:rPr>
          <w:rFonts w:ascii="Times New Roman" w:hAnsi="Times New Roman" w:cs="Times New Roman"/>
          <w:bCs/>
          <w:sz w:val="24"/>
          <w:szCs w:val="24"/>
        </w:rPr>
        <w:t xml:space="preserve"> </w:t>
      </w:r>
      <w:r>
        <w:rPr>
          <w:rFonts w:ascii="Times New Roman" w:hAnsi="Times New Roman" w:cs="Times New Roman"/>
          <w:bCs/>
          <w:sz w:val="24"/>
          <w:szCs w:val="24"/>
        </w:rPr>
        <w:t>cantones de la provincia de San José, a saber: Tibás, Moravia, Coronado, Curridabat, Goicoechea y Montes de Oca.</w:t>
      </w:r>
    </w:p>
    <w:p w14:paraId="796FA681" w14:textId="77777777"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Con respecto a la delimitación temporal, se parte de los años 2018 al 2019 como punto de inicio de la propuesta de investigación, lo que permitirá visualizar y comprender la vulnerabilidad cognitiva que presenta en mujeres víctimas de V. I. en el transcurso del tiempo.</w:t>
      </w:r>
    </w:p>
    <w:p w14:paraId="63055086" w14:textId="77ACDA99" w:rsidR="00E10342" w:rsidRPr="00E43236" w:rsidRDefault="00D31DDB" w:rsidP="00E43236">
      <w:pPr>
        <w:pStyle w:val="Ttulo2"/>
      </w:pPr>
      <w:bookmarkStart w:id="249" w:name="__RefHeading__27491_1894434827"/>
      <w:bookmarkStart w:id="250" w:name="_Toc61277002"/>
      <w:bookmarkStart w:id="251" w:name="_Toc62463353"/>
      <w:bookmarkStart w:id="252" w:name="_Toc62476087"/>
      <w:bookmarkStart w:id="253" w:name="_Toc62476294"/>
      <w:bookmarkStart w:id="254" w:name="_Toc63688959"/>
      <w:r w:rsidRPr="00E43236">
        <w:t>4.</w:t>
      </w:r>
      <w:bookmarkStart w:id="255" w:name="_Toc20680045"/>
      <w:bookmarkStart w:id="256" w:name="_Toc23806665"/>
      <w:bookmarkStart w:id="257" w:name="_Toc33168872"/>
      <w:r w:rsidR="002029C9">
        <w:t>3</w:t>
      </w:r>
      <w:r w:rsidRPr="00E43236">
        <w:t xml:space="preserve"> Tipo de Investigación</w:t>
      </w:r>
      <w:bookmarkEnd w:id="249"/>
      <w:bookmarkEnd w:id="250"/>
      <w:bookmarkEnd w:id="251"/>
      <w:bookmarkEnd w:id="252"/>
      <w:bookmarkEnd w:id="253"/>
      <w:bookmarkEnd w:id="254"/>
      <w:bookmarkEnd w:id="255"/>
      <w:bookmarkEnd w:id="256"/>
      <w:bookmarkEnd w:id="257"/>
    </w:p>
    <w:p w14:paraId="37A0C3B8" w14:textId="1599DEAB"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Con relación a la estrategia metodológica, la presente investigación socio-jurídica se caracteriza por ser de naturaleza descriptiva, debido a que comprendió la forma lógica de concretizar en la identificación y análisis de diversas unidades y dimensiones que </w:t>
      </w:r>
      <w:r>
        <w:rPr>
          <w:rFonts w:ascii="Times New Roman" w:hAnsi="Times New Roman" w:cs="Times New Roman"/>
          <w:bCs/>
          <w:sz w:val="24"/>
          <w:szCs w:val="24"/>
        </w:rPr>
        <w:lastRenderedPageBreak/>
        <w:t>requirieron interpretación para su posterior comprensión. Se trata de una investigación que aborda la vulnerabilidad cognitiva que se presenta en las mujeres víctimas de violencia intrafamiliar en donde trabaja temas como género, V. D., V. I., habilidades cognitivas y las vulnerabilidades que estas pueden presentar en las víctimas de V. I. en edad adulta, en un grupo etario entre los 27 a los 35 años, si bien de forma conjunta desde una perspectiva no antes abordada en investigaciones anteriores, por lo que no solo explora nuevas áreas de conocimiento, sino que interpreta y analiza las experiencias sociales y jurídicas.</w:t>
      </w:r>
    </w:p>
    <w:p w14:paraId="2D813154" w14:textId="0A876DC7" w:rsidR="00E10342" w:rsidRPr="00E43236" w:rsidRDefault="00D31DDB" w:rsidP="00E43236">
      <w:pPr>
        <w:pStyle w:val="Ttulo2"/>
      </w:pPr>
      <w:bookmarkStart w:id="258" w:name="__RefHeading__27493_1894434827"/>
      <w:bookmarkStart w:id="259" w:name="_Toc61277003"/>
      <w:bookmarkStart w:id="260" w:name="_Toc62463354"/>
      <w:bookmarkStart w:id="261" w:name="_Toc62476088"/>
      <w:bookmarkStart w:id="262" w:name="_Toc62476295"/>
      <w:bookmarkStart w:id="263" w:name="_Toc63688960"/>
      <w:r w:rsidRPr="00E43236">
        <w:t>4.</w:t>
      </w:r>
      <w:r w:rsidR="002029C9">
        <w:t>4</w:t>
      </w:r>
      <w:r w:rsidRPr="00E43236">
        <w:t xml:space="preserve"> Enfoque de Investigación</w:t>
      </w:r>
      <w:bookmarkEnd w:id="258"/>
      <w:bookmarkEnd w:id="259"/>
      <w:bookmarkEnd w:id="260"/>
      <w:bookmarkEnd w:id="261"/>
      <w:bookmarkEnd w:id="262"/>
      <w:bookmarkEnd w:id="263"/>
    </w:p>
    <w:p w14:paraId="60788D10" w14:textId="0825CBFF"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La presente investigación es de carácter cualitativo, debido a la necesidad de contacto y de escuchar las experiencias y vivencias prácticas de los profesionales, así como personal técnico que han abordado esta problemática en el Juzgado Contra la violencia Doméstica, II Circuito Judicial de San José.</w:t>
      </w:r>
    </w:p>
    <w:p w14:paraId="2689DC2B" w14:textId="0E456909" w:rsidR="00E10342" w:rsidRDefault="00D31DDB" w:rsidP="00E43236">
      <w:pPr>
        <w:pStyle w:val="Ttulo2"/>
      </w:pPr>
      <w:bookmarkStart w:id="264" w:name="_Toc62476089"/>
      <w:bookmarkStart w:id="265" w:name="_Toc62476296"/>
      <w:bookmarkStart w:id="266" w:name="_Toc63688961"/>
      <w:r>
        <w:t>4.</w:t>
      </w:r>
      <w:r w:rsidR="002029C9">
        <w:t>5</w:t>
      </w:r>
      <w:r>
        <w:t xml:space="preserve"> Población de Estudio o Unidades de Análisis</w:t>
      </w:r>
      <w:bookmarkEnd w:id="264"/>
      <w:bookmarkEnd w:id="265"/>
      <w:bookmarkEnd w:id="266"/>
    </w:p>
    <w:p w14:paraId="11D019F1" w14:textId="21645D29"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La investigación se desarrolla con funcionarios y funcionarias judiciales del Juzgado Contra la Violencia Doméstica del II Circuito Judicial de San José, porque son quienes intervienen directamente situaciones de V. I. y, en consecuencia, abordan o detectan eventualmente, de presentarse, la vulnerabilidad cognitiva en mujeres víctimas de violencia intrafamiliar, particularmente profesionales en derecho, psicología, trabajo social y auxiliares judiciales que laboran en los siguientes lugares:</w:t>
      </w:r>
    </w:p>
    <w:p w14:paraId="777FEE7E" w14:textId="77777777"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 Juzgado Contra la Violencia Doméstica.</w:t>
      </w:r>
    </w:p>
    <w:p w14:paraId="01ED3D9B" w14:textId="77777777"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b) Departamento de Trabajo Social y Psicología.</w:t>
      </w:r>
    </w:p>
    <w:p w14:paraId="05611118" w14:textId="77777777"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Estos funcionarios y funcionarias se seleccionaron según la viabilidad, así como el consentimiento de participar en la investigación. Dicha selección se realiza mediante los siguientes criterios:</w:t>
      </w:r>
    </w:p>
    <w:p w14:paraId="77D97885" w14:textId="040176CC"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 Atención a la víctima de violencia doméstica en el proceso judicial:</w:t>
      </w:r>
      <w:r w:rsidR="005F159A">
        <w:rPr>
          <w:rFonts w:ascii="Times New Roman" w:hAnsi="Times New Roman" w:cs="Times New Roman"/>
          <w:bCs/>
          <w:sz w:val="24"/>
          <w:szCs w:val="24"/>
        </w:rPr>
        <w:t xml:space="preserve"> </w:t>
      </w:r>
      <w:r>
        <w:rPr>
          <w:rFonts w:ascii="Times New Roman" w:hAnsi="Times New Roman" w:cs="Times New Roman"/>
          <w:bCs/>
          <w:sz w:val="24"/>
          <w:szCs w:val="24"/>
        </w:rPr>
        <w:t>profesionales en derecho, psicología y trabajo social, así como auxiliares.</w:t>
      </w:r>
    </w:p>
    <w:p w14:paraId="6CF17CFE" w14:textId="77777777"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b. </w:t>
      </w:r>
      <w:proofErr w:type="gramStart"/>
      <w:r>
        <w:rPr>
          <w:rFonts w:ascii="Times New Roman" w:hAnsi="Times New Roman" w:cs="Times New Roman"/>
          <w:bCs/>
          <w:sz w:val="24"/>
          <w:szCs w:val="24"/>
        </w:rPr>
        <w:t>Funcionarios</w:t>
      </w:r>
      <w:proofErr w:type="gramEnd"/>
      <w:r>
        <w:rPr>
          <w:rFonts w:ascii="Times New Roman" w:hAnsi="Times New Roman" w:cs="Times New Roman"/>
          <w:bCs/>
          <w:sz w:val="24"/>
          <w:szCs w:val="24"/>
        </w:rPr>
        <w:t xml:space="preserve"> del II Circuito Judicial de San José que laboren en las instancias señaladas anteriormente, realizando procesos a nivel jurisdiccional y de atención.</w:t>
      </w:r>
    </w:p>
    <w:p w14:paraId="0755028E" w14:textId="77777777" w:rsidR="00E10342" w:rsidRDefault="00D31DDB" w:rsidP="00E43236">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c. Consentimiento de los y las profesionales y auxiliares judiciales seleccionados para participar en la investigación.</w:t>
      </w:r>
    </w:p>
    <w:p w14:paraId="634FB2D0" w14:textId="0554D6AA" w:rsidR="00E10342" w:rsidRPr="00E43236" w:rsidRDefault="00D31DDB" w:rsidP="00E43236">
      <w:pPr>
        <w:pStyle w:val="Ttulo3"/>
      </w:pPr>
      <w:bookmarkStart w:id="267" w:name="_Toc61277004"/>
      <w:bookmarkStart w:id="268" w:name="__RefHeading__27495_1894434827"/>
      <w:bookmarkStart w:id="269" w:name="_Toc62463355"/>
      <w:bookmarkStart w:id="270" w:name="_Toc62476090"/>
      <w:bookmarkStart w:id="271" w:name="_Toc62476297"/>
      <w:bookmarkStart w:id="272" w:name="_Toc63688962"/>
      <w:bookmarkStart w:id="273" w:name="_Toc33168875"/>
      <w:bookmarkStart w:id="274" w:name="_Toc23806668"/>
      <w:r w:rsidRPr="00E43236">
        <w:lastRenderedPageBreak/>
        <w:t>4.</w:t>
      </w:r>
      <w:r w:rsidR="002029C9">
        <w:t>5</w:t>
      </w:r>
      <w:r w:rsidRPr="00E43236">
        <w:t>.1 Unidad de Análisis</w:t>
      </w:r>
      <w:bookmarkEnd w:id="267"/>
      <w:bookmarkEnd w:id="268"/>
      <w:bookmarkEnd w:id="269"/>
      <w:bookmarkEnd w:id="270"/>
      <w:bookmarkEnd w:id="271"/>
      <w:bookmarkEnd w:id="272"/>
    </w:p>
    <w:p w14:paraId="038BBC5E" w14:textId="77777777" w:rsidR="00E10342" w:rsidRPr="009B31FA" w:rsidRDefault="00D31DDB" w:rsidP="00591F4A">
      <w:pPr>
        <w:pStyle w:val="Prrafodelista"/>
        <w:numPr>
          <w:ilvl w:val="0"/>
          <w:numId w:val="14"/>
        </w:numPr>
        <w:tabs>
          <w:tab w:val="left" w:pos="993"/>
        </w:tabs>
        <w:spacing w:after="0" w:line="360" w:lineRule="auto"/>
        <w:ind w:left="0" w:firstLine="709"/>
      </w:pPr>
      <w:bookmarkStart w:id="275" w:name="__RefHeading__27497_1894434827"/>
      <w:bookmarkStart w:id="276" w:name="_Toc61277005"/>
      <w:bookmarkStart w:id="277" w:name="_Toc47982114"/>
      <w:bookmarkStart w:id="278" w:name="_Toc62463356"/>
      <w:bookmarkStart w:id="279" w:name="_Toc62476091"/>
      <w:r w:rsidRPr="00591F4A">
        <w:rPr>
          <w:rFonts w:ascii="Times New Roman" w:hAnsi="Times New Roman" w:cs="Times New Roman"/>
          <w:iCs/>
          <w:sz w:val="24"/>
          <w:szCs w:val="24"/>
        </w:rPr>
        <w:t xml:space="preserve">Expedientes judiciales del año </w:t>
      </w:r>
      <w:bookmarkStart w:id="280" w:name="_Toc33168876"/>
      <w:bookmarkStart w:id="281" w:name="_Toc23806669"/>
      <w:bookmarkStart w:id="282" w:name="_Toc20680049"/>
      <w:bookmarkEnd w:id="273"/>
      <w:bookmarkEnd w:id="274"/>
      <w:r w:rsidRPr="00591F4A">
        <w:rPr>
          <w:rFonts w:ascii="Times New Roman" w:hAnsi="Times New Roman" w:cs="Times New Roman"/>
          <w:iCs/>
          <w:sz w:val="24"/>
          <w:szCs w:val="24"/>
        </w:rPr>
        <w:t>2018 -2019.</w:t>
      </w:r>
      <w:bookmarkEnd w:id="275"/>
      <w:bookmarkEnd w:id="276"/>
      <w:bookmarkEnd w:id="277"/>
      <w:bookmarkEnd w:id="278"/>
      <w:bookmarkEnd w:id="279"/>
    </w:p>
    <w:p w14:paraId="22C61DB8" w14:textId="77777777" w:rsidR="00E10342" w:rsidRPr="009B31FA" w:rsidRDefault="00D31DDB" w:rsidP="00591F4A">
      <w:pPr>
        <w:pStyle w:val="Prrafodelista"/>
        <w:numPr>
          <w:ilvl w:val="0"/>
          <w:numId w:val="14"/>
        </w:numPr>
        <w:tabs>
          <w:tab w:val="left" w:pos="993"/>
        </w:tabs>
        <w:spacing w:after="0" w:line="360" w:lineRule="auto"/>
        <w:ind w:left="0" w:firstLine="709"/>
        <w:rPr>
          <w:rFonts w:ascii="Times New Roman" w:hAnsi="Times New Roman" w:cs="Times New Roman"/>
          <w:iCs/>
          <w:sz w:val="24"/>
          <w:szCs w:val="24"/>
        </w:rPr>
      </w:pPr>
      <w:r w:rsidRPr="009B31FA">
        <w:rPr>
          <w:rFonts w:ascii="Times New Roman" w:hAnsi="Times New Roman" w:cs="Times New Roman"/>
          <w:iCs/>
          <w:sz w:val="24"/>
          <w:szCs w:val="24"/>
        </w:rPr>
        <w:t xml:space="preserve">Toda compilación de documentos que comparten una misma causa, </w:t>
      </w:r>
      <w:proofErr w:type="gramStart"/>
      <w:r w:rsidRPr="009B31FA">
        <w:rPr>
          <w:rFonts w:ascii="Times New Roman" w:hAnsi="Times New Roman" w:cs="Times New Roman"/>
          <w:iCs/>
          <w:sz w:val="24"/>
          <w:szCs w:val="24"/>
        </w:rPr>
        <w:t>pueden</w:t>
      </w:r>
      <w:proofErr w:type="gramEnd"/>
      <w:r w:rsidRPr="009B31FA">
        <w:rPr>
          <w:rFonts w:ascii="Times New Roman" w:hAnsi="Times New Roman" w:cs="Times New Roman"/>
          <w:iCs/>
          <w:sz w:val="24"/>
          <w:szCs w:val="24"/>
        </w:rPr>
        <w:t xml:space="preserve"> ser físicos o electrónicos. Para los efectos, es importante el artículo 6 bis de la Ley Orgánica del Poder Judicial (Berrocal, 2009, p.121).</w:t>
      </w:r>
    </w:p>
    <w:p w14:paraId="296753B1" w14:textId="22BBF247" w:rsidR="00E10342" w:rsidRDefault="00D31DDB" w:rsidP="00163F59">
      <w:pPr>
        <w:pStyle w:val="Ttulo3"/>
      </w:pPr>
      <w:bookmarkStart w:id="283" w:name="_Toc61277006"/>
      <w:bookmarkStart w:id="284" w:name="__RefHeading__27499_1894434827"/>
      <w:bookmarkStart w:id="285" w:name="_Toc62463357"/>
      <w:bookmarkStart w:id="286" w:name="_Toc62476092"/>
      <w:bookmarkStart w:id="287" w:name="_Toc62476298"/>
      <w:bookmarkStart w:id="288" w:name="_Toc63688963"/>
      <w:r>
        <w:t>4.</w:t>
      </w:r>
      <w:r w:rsidR="002029C9">
        <w:t>5</w:t>
      </w:r>
      <w:r>
        <w:t>.2 Fuentes de Información</w:t>
      </w:r>
      <w:bookmarkEnd w:id="280"/>
      <w:bookmarkEnd w:id="281"/>
      <w:bookmarkEnd w:id="282"/>
      <w:bookmarkEnd w:id="283"/>
      <w:bookmarkEnd w:id="284"/>
      <w:bookmarkEnd w:id="285"/>
      <w:bookmarkEnd w:id="286"/>
      <w:bookmarkEnd w:id="287"/>
      <w:bookmarkEnd w:id="288"/>
    </w:p>
    <w:p w14:paraId="7C027D9F" w14:textId="45EF461C" w:rsidR="00E10342" w:rsidRDefault="00D31DDB" w:rsidP="009D3BDC">
      <w:bookmarkStart w:id="289" w:name="_Toc62463358"/>
      <w:bookmarkStart w:id="290" w:name="_Toc62476093"/>
      <w:bookmarkStart w:id="291" w:name="_Toc62476299"/>
      <w:bookmarkStart w:id="292" w:name="__RefHeading__27501_1894434827"/>
      <w:bookmarkStart w:id="293" w:name="_Toc61277007"/>
      <w:r>
        <w:t xml:space="preserve">Las fuentes de información con respecto a la investigación son de </w:t>
      </w:r>
      <w:r w:rsidR="006F24E5">
        <w:t xml:space="preserve">tres </w:t>
      </w:r>
      <w:r>
        <w:t>niveles</w:t>
      </w:r>
      <w:r w:rsidR="00071417">
        <w:t>:</w:t>
      </w:r>
      <w:bookmarkEnd w:id="289"/>
      <w:bookmarkEnd w:id="290"/>
      <w:bookmarkEnd w:id="291"/>
      <w:r w:rsidR="00071417">
        <w:t xml:space="preserve"> </w:t>
      </w:r>
      <w:bookmarkEnd w:id="292"/>
      <w:bookmarkEnd w:id="293"/>
    </w:p>
    <w:p w14:paraId="2BA1156D" w14:textId="3C6F55C2" w:rsidR="00E10342" w:rsidRDefault="006F24E5" w:rsidP="00163F59">
      <w:pPr>
        <w:pStyle w:val="Prrafodelista"/>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i/>
          <w:iCs/>
          <w:color w:val="00000A"/>
          <w:sz w:val="24"/>
          <w:szCs w:val="24"/>
        </w:rPr>
        <w:t>El primer nivel implica las f</w:t>
      </w:r>
      <w:r w:rsidR="00D31DDB" w:rsidRPr="00F335F0">
        <w:rPr>
          <w:rFonts w:ascii="Times New Roman" w:hAnsi="Times New Roman" w:cs="Times New Roman"/>
          <w:bCs/>
          <w:i/>
          <w:iCs/>
          <w:color w:val="00000A"/>
          <w:sz w:val="24"/>
          <w:szCs w:val="24"/>
        </w:rPr>
        <w:t>uentes</w:t>
      </w:r>
      <w:r w:rsidR="00D31DDB" w:rsidRPr="00F335F0">
        <w:rPr>
          <w:rFonts w:ascii="Times New Roman" w:hAnsi="Times New Roman"/>
          <w:bCs/>
          <w:i/>
          <w:iCs/>
          <w:color w:val="00000A"/>
          <w:sz w:val="24"/>
          <w:szCs w:val="24"/>
        </w:rPr>
        <w:t xml:space="preserve"> primarias</w:t>
      </w:r>
      <w:r w:rsidR="00D31DDB" w:rsidRPr="00071417">
        <w:rPr>
          <w:rFonts w:ascii="Times New Roman" w:hAnsi="Times New Roman"/>
          <w:bCs/>
          <w:color w:val="00000A"/>
          <w:sz w:val="24"/>
          <w:szCs w:val="24"/>
        </w:rPr>
        <w:t>:</w:t>
      </w:r>
      <w:r w:rsidR="00D31DDB" w:rsidRPr="00071417">
        <w:rPr>
          <w:rFonts w:ascii="Times New Roman" w:hAnsi="Times New Roman" w:cs="Times New Roman"/>
          <w:bCs/>
          <w:sz w:val="24"/>
          <w:szCs w:val="24"/>
        </w:rPr>
        <w:t xml:space="preserve"> </w:t>
      </w:r>
      <w:r w:rsidR="00071417">
        <w:rPr>
          <w:rFonts w:ascii="Times New Roman" w:hAnsi="Times New Roman" w:cs="Times New Roman"/>
          <w:bCs/>
          <w:sz w:val="24"/>
          <w:szCs w:val="24"/>
        </w:rPr>
        <w:t xml:space="preserve">según </w:t>
      </w:r>
      <w:r w:rsidR="00D31DDB" w:rsidRPr="00F335F0">
        <w:rPr>
          <w:rFonts w:ascii="Times New Roman" w:hAnsi="Times New Roman" w:cs="Times New Roman"/>
          <w:bCs/>
          <w:sz w:val="24"/>
          <w:szCs w:val="24"/>
        </w:rPr>
        <w:t>Del Cid, Méndez y Sandoval (2011)</w:t>
      </w:r>
      <w:r w:rsidR="00D31DDB" w:rsidRPr="00071417">
        <w:rPr>
          <w:rFonts w:ascii="Times New Roman" w:hAnsi="Times New Roman" w:cs="Times New Roman"/>
          <w:bCs/>
          <w:sz w:val="24"/>
          <w:szCs w:val="24"/>
        </w:rPr>
        <w:t xml:space="preserve"> las definen de la siguiente manera</w:t>
      </w:r>
      <w:r w:rsidR="00071417" w:rsidRPr="00071417">
        <w:rPr>
          <w:rFonts w:ascii="Times New Roman" w:hAnsi="Times New Roman" w:cs="Times New Roman"/>
          <w:bCs/>
          <w:sz w:val="24"/>
          <w:szCs w:val="24"/>
        </w:rPr>
        <w:t xml:space="preserve"> “</w:t>
      </w:r>
      <w:r w:rsidR="00D31DDB" w:rsidRPr="00F335F0">
        <w:rPr>
          <w:rFonts w:ascii="Times New Roman" w:hAnsi="Times New Roman" w:cs="Times New Roman"/>
          <w:bCs/>
          <w:sz w:val="24"/>
          <w:szCs w:val="24"/>
        </w:rPr>
        <w:t>Las fuentes primarias de información son las que proporcionan información de primera mano, son fuentes directas. Su utilización permite conocer los fenómenos tal y como suceden en la realida</w:t>
      </w:r>
      <w:r w:rsidR="00071417">
        <w:rPr>
          <w:rFonts w:ascii="Times New Roman" w:hAnsi="Times New Roman" w:cs="Times New Roman"/>
          <w:bCs/>
          <w:sz w:val="24"/>
          <w:szCs w:val="24"/>
        </w:rPr>
        <w:t>d”</w:t>
      </w:r>
      <w:r w:rsidR="00071417" w:rsidRPr="00F335F0">
        <w:rPr>
          <w:rFonts w:ascii="Times New Roman" w:hAnsi="Times New Roman" w:cs="Times New Roman"/>
          <w:bCs/>
          <w:sz w:val="24"/>
          <w:szCs w:val="24"/>
        </w:rPr>
        <w:t xml:space="preserve"> (p. 84)</w:t>
      </w:r>
      <w:r w:rsidR="00071417">
        <w:rPr>
          <w:rFonts w:ascii="Times New Roman" w:hAnsi="Times New Roman" w:cs="Times New Roman"/>
          <w:bCs/>
          <w:sz w:val="24"/>
          <w:szCs w:val="24"/>
        </w:rPr>
        <w:t>. E</w:t>
      </w:r>
      <w:r w:rsidR="00D31DDB">
        <w:rPr>
          <w:rFonts w:ascii="Times New Roman" w:hAnsi="Times New Roman" w:cs="Times New Roman"/>
          <w:bCs/>
          <w:sz w:val="24"/>
          <w:szCs w:val="24"/>
        </w:rPr>
        <w:t xml:space="preserve">n el caso en estudio las entrevistas semiestructuradas a profesionales y personas técnicas que laboran en el Juzgado Contra la Violencia Doméstica II Circuito Judicial de San José. </w:t>
      </w:r>
    </w:p>
    <w:p w14:paraId="1DFAA06C" w14:textId="28E168BA" w:rsidR="00E10342" w:rsidRDefault="006F24E5" w:rsidP="00163F59">
      <w:pPr>
        <w:pStyle w:val="Prrafodelista"/>
        <w:spacing w:after="0" w:line="360" w:lineRule="auto"/>
        <w:ind w:left="0" w:firstLine="709"/>
        <w:jc w:val="both"/>
        <w:rPr>
          <w:rFonts w:ascii="Times New Roman" w:hAnsi="Times New Roman" w:cs="Times New Roman"/>
          <w:bCs/>
          <w:sz w:val="24"/>
          <w:szCs w:val="24"/>
        </w:rPr>
      </w:pPr>
      <w:r>
        <w:rPr>
          <w:rFonts w:ascii="Times New Roman" w:hAnsi="Times New Roman"/>
          <w:bCs/>
          <w:i/>
          <w:iCs/>
          <w:color w:val="00000A"/>
          <w:sz w:val="24"/>
          <w:szCs w:val="24"/>
        </w:rPr>
        <w:t>En el segundo nivel las f</w:t>
      </w:r>
      <w:r w:rsidR="00D31DDB">
        <w:rPr>
          <w:rFonts w:ascii="Times New Roman" w:hAnsi="Times New Roman"/>
          <w:bCs/>
          <w:i/>
          <w:iCs/>
          <w:color w:val="00000A"/>
          <w:sz w:val="24"/>
          <w:szCs w:val="24"/>
        </w:rPr>
        <w:t>uentes secundarias</w:t>
      </w:r>
      <w:r w:rsidR="005F159A">
        <w:rPr>
          <w:rFonts w:ascii="Times New Roman" w:hAnsi="Times New Roman"/>
          <w:bCs/>
          <w:color w:val="00000A"/>
          <w:sz w:val="24"/>
          <w:szCs w:val="24"/>
        </w:rPr>
        <w:t xml:space="preserve"> </w:t>
      </w:r>
      <w:r>
        <w:rPr>
          <w:rFonts w:ascii="Times New Roman" w:hAnsi="Times New Roman" w:cs="Times New Roman"/>
          <w:bCs/>
          <w:sz w:val="24"/>
          <w:szCs w:val="24"/>
        </w:rPr>
        <w:t>las cuales según</w:t>
      </w:r>
      <w:r w:rsidR="00D31DDB">
        <w:rPr>
          <w:rFonts w:ascii="Times New Roman" w:hAnsi="Times New Roman" w:cs="Times New Roman"/>
          <w:bCs/>
          <w:sz w:val="24"/>
          <w:szCs w:val="24"/>
        </w:rPr>
        <w:t xml:space="preserve"> Del Cid, Méndez y Sandoval (2011) mencionan</w:t>
      </w:r>
      <w:r>
        <w:rPr>
          <w:rFonts w:ascii="Times New Roman" w:hAnsi="Times New Roman" w:cs="Times New Roman"/>
          <w:bCs/>
          <w:sz w:val="24"/>
          <w:szCs w:val="24"/>
        </w:rPr>
        <w:t xml:space="preserve"> “s</w:t>
      </w:r>
      <w:r w:rsidR="00D31DDB">
        <w:rPr>
          <w:rFonts w:ascii="Times New Roman" w:hAnsi="Times New Roman" w:cs="Times New Roman"/>
          <w:bCs/>
          <w:sz w:val="24"/>
          <w:szCs w:val="24"/>
        </w:rPr>
        <w:t>e refieren a información obtenida de datos generados con anterioridad, es decir, no se llega directamente a los hechos, sino que se les estudia a través de lo que otros han escrito</w:t>
      </w:r>
      <w:r>
        <w:rPr>
          <w:rFonts w:ascii="Times New Roman" w:hAnsi="Times New Roman" w:cs="Times New Roman"/>
          <w:bCs/>
          <w:sz w:val="24"/>
          <w:szCs w:val="24"/>
        </w:rPr>
        <w:t>” (p. 85). P</w:t>
      </w:r>
      <w:r w:rsidR="00D31DDB">
        <w:rPr>
          <w:rFonts w:ascii="Times New Roman" w:hAnsi="Times New Roman" w:cs="Times New Roman"/>
          <w:bCs/>
          <w:sz w:val="24"/>
          <w:szCs w:val="24"/>
        </w:rPr>
        <w:t xml:space="preserve">ara la presente investigación se revisará una muestra de expedientes judiciales entre los años 2018-2019 en materia de Violencia Doméstica en que se denote V.I. </w:t>
      </w:r>
      <w:r>
        <w:rPr>
          <w:rFonts w:ascii="Times New Roman" w:hAnsi="Times New Roman" w:cs="Times New Roman"/>
          <w:bCs/>
          <w:sz w:val="24"/>
          <w:szCs w:val="24"/>
        </w:rPr>
        <w:t>y</w:t>
      </w:r>
      <w:r w:rsidR="00D31DDB">
        <w:rPr>
          <w:rFonts w:ascii="Times New Roman" w:hAnsi="Times New Roman" w:cs="Times New Roman"/>
          <w:bCs/>
          <w:sz w:val="24"/>
          <w:szCs w:val="24"/>
        </w:rPr>
        <w:t xml:space="preserve"> las víctimas sean mujeres entre los 27 y 35 años. </w:t>
      </w:r>
    </w:p>
    <w:p w14:paraId="2F78D908" w14:textId="77777777" w:rsidR="00E10342" w:rsidRDefault="00D31DDB" w:rsidP="00163F59">
      <w:pPr>
        <w:pStyle w:val="Prrafodelista"/>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De acuerdo con lo anterior, la propuesta se centra en la búsqueda de información complementaria que posean entes gubernamentales y no gubernamentales u otras fuentes de información, relacionadas al tema planteado en la propuesta de investigación.</w:t>
      </w:r>
    </w:p>
    <w:p w14:paraId="61A2693E" w14:textId="12790BB6" w:rsidR="006F24E5" w:rsidRDefault="006F24E5" w:rsidP="00163F59">
      <w:pPr>
        <w:pStyle w:val="Prrafodelista"/>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El tercer nivel las </w:t>
      </w:r>
      <w:bookmarkStart w:id="294" w:name="_Toc61277008"/>
      <w:bookmarkStart w:id="295" w:name="_Toc47982116"/>
      <w:r>
        <w:rPr>
          <w:b/>
        </w:rPr>
        <w:t>f</w:t>
      </w:r>
      <w:r w:rsidR="00D31DDB">
        <w:rPr>
          <w:b/>
        </w:rPr>
        <w:t>uentes terciarias:</w:t>
      </w:r>
      <w:bookmarkEnd w:id="294"/>
      <w:bookmarkEnd w:id="295"/>
      <w:r w:rsidR="00D31DDB">
        <w:rPr>
          <w:rFonts w:ascii="Times New Roman" w:hAnsi="Times New Roman" w:cs="Times New Roman"/>
          <w:bCs/>
          <w:sz w:val="24"/>
          <w:szCs w:val="24"/>
        </w:rPr>
        <w:t xml:space="preserve"> con relación a estas fuentes, </w:t>
      </w:r>
      <w:proofErr w:type="spellStart"/>
      <w:r w:rsidR="00D31DDB">
        <w:rPr>
          <w:rFonts w:ascii="Times New Roman" w:hAnsi="Times New Roman" w:cs="Times New Roman"/>
          <w:bCs/>
          <w:sz w:val="24"/>
          <w:szCs w:val="24"/>
        </w:rPr>
        <w:t>Maranto</w:t>
      </w:r>
      <w:proofErr w:type="spellEnd"/>
      <w:r w:rsidR="00D31DDB">
        <w:rPr>
          <w:rFonts w:ascii="Times New Roman" w:hAnsi="Times New Roman" w:cs="Times New Roman"/>
          <w:bCs/>
          <w:sz w:val="24"/>
          <w:szCs w:val="24"/>
        </w:rPr>
        <w:t xml:space="preserve"> y </w:t>
      </w:r>
      <w:proofErr w:type="spellStart"/>
      <w:r w:rsidR="00D31DDB">
        <w:rPr>
          <w:rFonts w:ascii="Times New Roman" w:hAnsi="Times New Roman" w:cs="Times New Roman"/>
          <w:bCs/>
          <w:sz w:val="24"/>
          <w:szCs w:val="24"/>
        </w:rPr>
        <w:t>Gónzalez</w:t>
      </w:r>
      <w:proofErr w:type="spellEnd"/>
      <w:r w:rsidR="00D31DDB">
        <w:rPr>
          <w:rFonts w:ascii="Times New Roman" w:hAnsi="Times New Roman" w:cs="Times New Roman"/>
          <w:bCs/>
          <w:sz w:val="24"/>
          <w:szCs w:val="24"/>
        </w:rPr>
        <w:t xml:space="preserve"> (2015) citan</w:t>
      </w:r>
      <w:r>
        <w:rPr>
          <w:rFonts w:ascii="Times New Roman" w:hAnsi="Times New Roman" w:cs="Times New Roman"/>
          <w:bCs/>
          <w:sz w:val="24"/>
          <w:szCs w:val="24"/>
        </w:rPr>
        <w:t xml:space="preserve">: </w:t>
      </w:r>
    </w:p>
    <w:p w14:paraId="3F37A29F" w14:textId="7286EFB6" w:rsidR="00E10342" w:rsidRDefault="00254F43" w:rsidP="00163F59">
      <w:pPr>
        <w:pStyle w:val="Prrafodelista"/>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e</w:t>
      </w:r>
      <w:r w:rsidR="00D31DDB">
        <w:rPr>
          <w:rFonts w:ascii="Times New Roman" w:hAnsi="Times New Roman" w:cs="Times New Roman"/>
          <w:bCs/>
          <w:sz w:val="24"/>
          <w:szCs w:val="24"/>
        </w:rPr>
        <w:t>ste tipo de fuentes son las que recopilan fuentes de información primarias o secundarias. Estas fuentes son utilizadas para buscar datos o para obtener una idea general sobre algún tema, algunas son; bibliografías, almacenes, directorios, donde se encuentran la referencia de otros documentos, que contienen nombres, títulos de revistas y otras publicaciones. (p. 3)</w:t>
      </w:r>
    </w:p>
    <w:p w14:paraId="54667CBC" w14:textId="4E030786" w:rsidR="00E10342" w:rsidRPr="00163F59" w:rsidRDefault="006F24E5" w:rsidP="00163F59">
      <w:pPr>
        <w:pStyle w:val="Prrafodelista"/>
        <w:spacing w:after="0" w:line="360" w:lineRule="auto"/>
        <w:ind w:left="0" w:firstLine="567"/>
        <w:jc w:val="both"/>
        <w:rPr>
          <w:rFonts w:ascii="Times New Roman" w:hAnsi="Times New Roman" w:cs="Times New Roman"/>
          <w:bCs/>
          <w:sz w:val="24"/>
          <w:szCs w:val="24"/>
        </w:rPr>
      </w:pPr>
      <w:r>
        <w:rPr>
          <w:rFonts w:ascii="Times New Roman" w:hAnsi="Times New Roman" w:cs="Times New Roman"/>
          <w:bCs/>
          <w:sz w:val="24"/>
          <w:szCs w:val="24"/>
        </w:rPr>
        <w:t xml:space="preserve">En este trabajo son fuentes terciarias las publicaciones del Poder Judicial y demás que ayuden a </w:t>
      </w:r>
      <w:r w:rsidR="00651B29">
        <w:rPr>
          <w:rFonts w:ascii="Times New Roman" w:hAnsi="Times New Roman" w:cs="Times New Roman"/>
          <w:bCs/>
          <w:sz w:val="24"/>
          <w:szCs w:val="24"/>
        </w:rPr>
        <w:t xml:space="preserve">fundamentar la información. </w:t>
      </w:r>
    </w:p>
    <w:p w14:paraId="7ACC235E" w14:textId="46DAA57A" w:rsidR="00E10342" w:rsidRPr="00163F59" w:rsidRDefault="00D31DDB" w:rsidP="00163F59">
      <w:pPr>
        <w:pStyle w:val="Ttulo2"/>
      </w:pPr>
      <w:bookmarkStart w:id="296" w:name="_Toc61277009"/>
      <w:bookmarkStart w:id="297" w:name="__RefHeading__27503_1894434827"/>
      <w:bookmarkStart w:id="298" w:name="_Toc62463359"/>
      <w:bookmarkStart w:id="299" w:name="_Toc62476094"/>
      <w:bookmarkStart w:id="300" w:name="_Toc62476300"/>
      <w:bookmarkStart w:id="301" w:name="_Toc63688964"/>
      <w:r w:rsidRPr="00163F59">
        <w:lastRenderedPageBreak/>
        <w:t>4.</w:t>
      </w:r>
      <w:r w:rsidR="002029C9">
        <w:t>6</w:t>
      </w:r>
      <w:r w:rsidRPr="00163F59">
        <w:t xml:space="preserve"> Técnicas e </w:t>
      </w:r>
      <w:r w:rsidR="00163F59" w:rsidRPr="00163F59">
        <w:t>i</w:t>
      </w:r>
      <w:r w:rsidRPr="00163F59">
        <w:t>nstrumentos</w:t>
      </w:r>
      <w:bookmarkEnd w:id="296"/>
      <w:bookmarkEnd w:id="297"/>
      <w:bookmarkEnd w:id="298"/>
      <w:bookmarkEnd w:id="299"/>
      <w:bookmarkEnd w:id="300"/>
      <w:bookmarkEnd w:id="301"/>
    </w:p>
    <w:p w14:paraId="33D2C435" w14:textId="77777777" w:rsidR="00E10342" w:rsidRDefault="00D31DDB" w:rsidP="00163F59">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Para efectos de la propuesta de investigación, se van a utilizar las siguientes dos técnicas:</w:t>
      </w:r>
    </w:p>
    <w:p w14:paraId="37BDFCEC" w14:textId="77777777" w:rsidR="00E10342" w:rsidRDefault="00D31DDB" w:rsidP="00163F59">
      <w:pPr>
        <w:pStyle w:val="Standard"/>
        <w:spacing w:after="0" w:line="360" w:lineRule="auto"/>
        <w:ind w:firstLine="709"/>
        <w:jc w:val="both"/>
      </w:pPr>
      <w:r>
        <w:rPr>
          <w:rFonts w:ascii="Times New Roman" w:hAnsi="Times New Roman"/>
          <w:bCs/>
          <w:i/>
          <w:color w:val="00000A"/>
          <w:sz w:val="24"/>
          <w:szCs w:val="24"/>
        </w:rPr>
        <w:t xml:space="preserve">a) Entrevista </w:t>
      </w:r>
      <w:proofErr w:type="spellStart"/>
      <w:r>
        <w:rPr>
          <w:rFonts w:ascii="Times New Roman" w:hAnsi="Times New Roman"/>
          <w:bCs/>
          <w:i/>
          <w:color w:val="00000A"/>
          <w:sz w:val="24"/>
          <w:szCs w:val="24"/>
        </w:rPr>
        <w:t>semi-estructurada</w:t>
      </w:r>
      <w:proofErr w:type="spellEnd"/>
      <w:r>
        <w:rPr>
          <w:rFonts w:ascii="Times New Roman" w:hAnsi="Times New Roman"/>
          <w:bCs/>
          <w:i/>
          <w:color w:val="00000A"/>
          <w:sz w:val="24"/>
          <w:szCs w:val="24"/>
        </w:rPr>
        <w:t>:</w:t>
      </w:r>
      <w:r>
        <w:rPr>
          <w:rFonts w:ascii="Times New Roman" w:hAnsi="Times New Roman"/>
          <w:bCs/>
          <w:color w:val="00000A"/>
          <w:sz w:val="24"/>
          <w:szCs w:val="24"/>
        </w:rPr>
        <w:t xml:space="preserve"> </w:t>
      </w:r>
      <w:r>
        <w:rPr>
          <w:rFonts w:ascii="Times New Roman" w:hAnsi="Times New Roman" w:cs="Times New Roman"/>
          <w:bCs/>
          <w:sz w:val="24"/>
          <w:szCs w:val="24"/>
        </w:rPr>
        <w:t>consiste “en una guía de asuntos o preguntas y el entrevistador tiene la libertad de introducir preguntas adicionales para precisar conceptos u obtener más información” (Hernández, Fernández y Baptista 2014, p. 403). Este tipo de técnica permite crear un contacto más cercano con el informante, a su vez, conocer y comprender las perspectivas de los informantes a través de una guía de preguntas que le irán dando sentido a la entrevista, pero que dejará el portillo abierto en caso de que surjan dudas a lo largo del relato de los entrevistados.</w:t>
      </w:r>
    </w:p>
    <w:p w14:paraId="0E9CB125" w14:textId="77777777" w:rsidR="00E10342" w:rsidRDefault="00D31DDB" w:rsidP="00163F59">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Desde la utilización de esta técnica, se pretende recolectar la información para la propuesta de investigación a través de las experiencias en la tramitación judicial y el abordaje psicosocial en cuanto a la vulnerabilidad que presentan las mujeres adultas entre los 27 y 35 años, víctimas de violencia, tratando de comprender el fenómeno de estudio desde su experiencia y las resignificaciones que estos le dan. Al respecto, cabe destacar lo siguiente:</w:t>
      </w:r>
    </w:p>
    <w:p w14:paraId="2C448FE4" w14:textId="77777777" w:rsidR="00E10342" w:rsidRDefault="00D31DDB" w:rsidP="00163F59">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Todo es cierto, pero lo que tratan de contar los sujetos es justamente su propio itinerario y no el de cualquier otro. La intervención de las mediaciones señaladas apenas afecta a la estructura diacrónica de las situaciones y acontecimientos de que está sembrado ese itinerario. (Hernández, et al., 2014, p. 387)</w:t>
      </w:r>
    </w:p>
    <w:p w14:paraId="5D50E130" w14:textId="63129599" w:rsidR="00E10342" w:rsidRPr="00163F59" w:rsidRDefault="00D31DDB" w:rsidP="00D83248">
      <w:pPr>
        <w:pStyle w:val="Standard"/>
        <w:spacing w:after="0" w:line="360" w:lineRule="auto"/>
        <w:ind w:firstLine="709"/>
        <w:jc w:val="both"/>
        <w:rPr>
          <w:rFonts w:ascii="Times New Roman" w:hAnsi="Times New Roman" w:cs="Times New Roman"/>
          <w:bCs/>
        </w:rPr>
      </w:pPr>
      <w:bookmarkStart w:id="302" w:name="_Toc61277010"/>
      <w:bookmarkStart w:id="303" w:name="_Toc47982118"/>
      <w:r w:rsidRPr="00163F59">
        <w:rPr>
          <w:rFonts w:ascii="Times New Roman" w:hAnsi="Times New Roman" w:cs="Times New Roman"/>
          <w:bCs/>
        </w:rPr>
        <w:t>b)</w:t>
      </w:r>
      <w:r w:rsidR="00651B29" w:rsidRPr="00163F59">
        <w:rPr>
          <w:rFonts w:ascii="Times New Roman" w:hAnsi="Times New Roman" w:cs="Times New Roman"/>
          <w:bCs/>
        </w:rPr>
        <w:t xml:space="preserve"> </w:t>
      </w:r>
      <w:r w:rsidRPr="00163F59">
        <w:rPr>
          <w:rFonts w:ascii="Times New Roman" w:hAnsi="Times New Roman" w:cs="Times New Roman"/>
          <w:bCs/>
        </w:rPr>
        <w:t>Revisión documental</w:t>
      </w:r>
      <w:bookmarkEnd w:id="302"/>
      <w:bookmarkEnd w:id="303"/>
      <w:r w:rsidRPr="00163F59">
        <w:rPr>
          <w:rFonts w:ascii="Times New Roman" w:hAnsi="Times New Roman" w:cs="Times New Roman"/>
          <w:bCs/>
          <w:sz w:val="24"/>
          <w:szCs w:val="24"/>
        </w:rPr>
        <w:t>:</w:t>
      </w:r>
      <w:r w:rsidRPr="00163F59">
        <w:rPr>
          <w:rFonts w:ascii="Times New Roman" w:hAnsi="Times New Roman" w:cs="Times New Roman"/>
          <w:bCs/>
          <w:i/>
          <w:sz w:val="24"/>
          <w:szCs w:val="24"/>
        </w:rPr>
        <w:t xml:space="preserve"> </w:t>
      </w:r>
      <w:r w:rsidRPr="00163F59">
        <w:rPr>
          <w:rFonts w:ascii="Times New Roman" w:hAnsi="Times New Roman" w:cs="Times New Roman"/>
          <w:bCs/>
          <w:sz w:val="24"/>
          <w:szCs w:val="24"/>
        </w:rPr>
        <w:t>permite identificar las investigaciones elaboradas con anterioridad, las autorías y sus discusiones; delinear el objeto de estudio; construir premisas de partida; consolidar autores para elaborar una base teórica; hacer relaciones entre trabajos; rastrear preguntas y objetivos de investigación; observar las estéticas de los procedimientos (metodologías de abordaje); establecer semejanzas y diferencias entre los trabajos y las ideas del investigador; categorizar experiencias; distinguir los elementos más abordados con sus esquemas observacionales; y precisar ámbitos no explorados (Hernández, et al., 2014, p. 387).</w:t>
      </w:r>
    </w:p>
    <w:p w14:paraId="02DBD398" w14:textId="77777777" w:rsidR="00E10342" w:rsidRPr="00163F59" w:rsidRDefault="00D31DDB" w:rsidP="00D83248">
      <w:pPr>
        <w:pStyle w:val="Standard"/>
        <w:spacing w:after="0" w:line="360" w:lineRule="auto"/>
        <w:ind w:firstLine="709"/>
        <w:jc w:val="both"/>
        <w:rPr>
          <w:rFonts w:ascii="Times New Roman" w:hAnsi="Times New Roman" w:cs="Times New Roman"/>
          <w:bCs/>
        </w:rPr>
      </w:pPr>
      <w:r w:rsidRPr="00163F59">
        <w:rPr>
          <w:rFonts w:ascii="Times New Roman" w:hAnsi="Times New Roman" w:cs="Times New Roman"/>
          <w:bCs/>
          <w:sz w:val="24"/>
          <w:szCs w:val="24"/>
        </w:rPr>
        <w:t xml:space="preserve">Esta técnica pretende hacer una revisión documental con la finalidad de obtener información complementaria con respecto a lo aportado por los entrevistados y la revisión de expedientes judiciales, mediante la búsqueda de documentos que posean tanto </w:t>
      </w:r>
      <w:r w:rsidRPr="00163F59">
        <w:rPr>
          <w:rFonts w:ascii="Times New Roman" w:hAnsi="Times New Roman" w:cs="Times New Roman"/>
          <w:bCs/>
          <w:sz w:val="24"/>
          <w:szCs w:val="24"/>
        </w:rPr>
        <w:lastRenderedPageBreak/>
        <w:t>instituciones gubernamentales como no gubernamentales, o bien, otras fuentes de información.</w:t>
      </w:r>
    </w:p>
    <w:p w14:paraId="426E5131" w14:textId="70836988" w:rsidR="00C93A98" w:rsidRPr="00163F59" w:rsidRDefault="00C93A98" w:rsidP="00D83248">
      <w:pPr>
        <w:pStyle w:val="Ttulo2"/>
      </w:pPr>
      <w:bookmarkStart w:id="304" w:name="_Toc62463360"/>
      <w:bookmarkStart w:id="305" w:name="_Toc62476095"/>
      <w:bookmarkStart w:id="306" w:name="_Toc62476301"/>
      <w:bookmarkStart w:id="307" w:name="_Toc63688965"/>
      <w:bookmarkStart w:id="308" w:name="__RefHeading__27505_1894434827"/>
      <w:bookmarkStart w:id="309" w:name="_Toc61277011"/>
      <w:r w:rsidRPr="00163F59">
        <w:t>4.</w:t>
      </w:r>
      <w:r w:rsidR="002029C9">
        <w:t>7</w:t>
      </w:r>
      <w:r w:rsidRPr="00163F59">
        <w:t xml:space="preserve"> Consideraciones éticas</w:t>
      </w:r>
      <w:bookmarkEnd w:id="304"/>
      <w:bookmarkEnd w:id="305"/>
      <w:bookmarkEnd w:id="306"/>
      <w:bookmarkEnd w:id="307"/>
      <w:r w:rsidRPr="00163F59">
        <w:t xml:space="preserve"> </w:t>
      </w:r>
    </w:p>
    <w:p w14:paraId="6B0A64F7" w14:textId="195B68C0" w:rsidR="00C93A98" w:rsidRPr="00163F59" w:rsidRDefault="00C93A98" w:rsidP="00D83248">
      <w:pPr>
        <w:rPr>
          <w:rFonts w:cs="Times New Roman"/>
          <w:szCs w:val="24"/>
          <w:lang w:val="es-ES"/>
        </w:rPr>
      </w:pPr>
      <w:r>
        <w:rPr>
          <w:rFonts w:cs="Times New Roman"/>
          <w:szCs w:val="24"/>
          <w:lang w:val="es-ES"/>
        </w:rPr>
        <w:t>P</w:t>
      </w:r>
      <w:r w:rsidRPr="00955CC4">
        <w:rPr>
          <w:rFonts w:cs="Times New Roman"/>
          <w:szCs w:val="24"/>
          <w:lang w:val="es-ES"/>
        </w:rPr>
        <w:t>ara la revisión de los expedientes se contó con la autorización del Consejo Superior, por lo cual se omite toda r</w:t>
      </w:r>
      <w:r>
        <w:rPr>
          <w:rFonts w:cs="Times New Roman"/>
          <w:szCs w:val="24"/>
          <w:lang w:val="es-ES"/>
        </w:rPr>
        <w:t xml:space="preserve">eferencia a nombres de personas, así mismo se anexa dicha autorización. </w:t>
      </w:r>
    </w:p>
    <w:p w14:paraId="52D62011" w14:textId="77777777" w:rsidR="00C32153" w:rsidRDefault="00C32153">
      <w:pPr>
        <w:rPr>
          <w:rFonts w:eastAsia="Times New Roman" w:cs="Times New Roman"/>
          <w:b/>
          <w:szCs w:val="26"/>
          <w:lang w:val="es-SV"/>
        </w:rPr>
      </w:pPr>
      <w:r>
        <w:br w:type="page"/>
      </w:r>
    </w:p>
    <w:p w14:paraId="32C2AD1D" w14:textId="7C747838" w:rsidR="00E10342" w:rsidRPr="007C0BE3" w:rsidRDefault="00C93A98" w:rsidP="007C0BE3">
      <w:pPr>
        <w:pStyle w:val="Ttulo2"/>
      </w:pPr>
      <w:bookmarkStart w:id="310" w:name="_Toc62463361"/>
      <w:bookmarkStart w:id="311" w:name="_Toc62476096"/>
      <w:bookmarkStart w:id="312" w:name="_Toc62476302"/>
      <w:bookmarkStart w:id="313" w:name="_Toc63688966"/>
      <w:r w:rsidRPr="007C0BE3">
        <w:lastRenderedPageBreak/>
        <w:t>4.</w:t>
      </w:r>
      <w:r w:rsidR="002029C9">
        <w:t>8</w:t>
      </w:r>
      <w:r w:rsidR="00D31DDB" w:rsidRPr="007C0BE3">
        <w:t xml:space="preserve"> Cuadro de Operacionalización</w:t>
      </w:r>
      <w:bookmarkEnd w:id="308"/>
      <w:bookmarkEnd w:id="309"/>
      <w:bookmarkEnd w:id="310"/>
      <w:bookmarkEnd w:id="311"/>
      <w:bookmarkEnd w:id="312"/>
      <w:bookmarkEnd w:id="313"/>
    </w:p>
    <w:p w14:paraId="23C61B35" w14:textId="55870986" w:rsidR="007C0BE3" w:rsidRDefault="00D31DDB" w:rsidP="008627AC">
      <w:pPr>
        <w:pStyle w:val="Standard"/>
        <w:spacing w:after="0" w:line="360" w:lineRule="auto"/>
        <w:ind w:firstLine="709"/>
        <w:jc w:val="both"/>
        <w:rPr>
          <w:noProof/>
          <w:lang w:eastAsia="es-CR"/>
        </w:rPr>
      </w:pPr>
      <w:r>
        <w:rPr>
          <w:rFonts w:ascii="Times New Roman" w:hAnsi="Times New Roman" w:cs="Times New Roman"/>
          <w:bCs/>
          <w:sz w:val="24"/>
          <w:szCs w:val="24"/>
        </w:rPr>
        <w:t>En el siguiente cuadro, se detalla la operacionalización de objetivos para la presente investigación:</w:t>
      </w:r>
      <w:r w:rsidR="00C32153" w:rsidRPr="00C32153">
        <w:rPr>
          <w:noProof/>
          <w:lang w:eastAsia="es-CR"/>
        </w:rPr>
        <w:t xml:space="preserve"> </w:t>
      </w:r>
    </w:p>
    <w:p w14:paraId="485D5580" w14:textId="268CDF34" w:rsidR="007C0BE3" w:rsidRDefault="008627AC" w:rsidP="007C0BE3">
      <w:pPr>
        <w:pStyle w:val="Standard"/>
        <w:spacing w:after="0" w:line="360" w:lineRule="auto"/>
        <w:ind w:firstLine="709"/>
        <w:jc w:val="both"/>
        <w:rPr>
          <w:noProof/>
          <w:lang w:eastAsia="es-CR"/>
        </w:rPr>
      </w:pPr>
      <w:r>
        <w:rPr>
          <w:rFonts w:ascii="Times New Roman" w:hAnsi="Times New Roman" w:cs="Times New Roman"/>
          <w:bCs/>
          <w:noProof/>
          <w:sz w:val="24"/>
          <w:szCs w:val="24"/>
          <w:lang w:eastAsia="es-CR"/>
        </w:rPr>
        <mc:AlternateContent>
          <mc:Choice Requires="wpg">
            <w:drawing>
              <wp:anchor distT="0" distB="0" distL="114300" distR="114300" simplePos="0" relativeHeight="251663360" behindDoc="0" locked="0" layoutInCell="1" allowOverlap="1" wp14:anchorId="3BC051FD" wp14:editId="5358F858">
                <wp:simplePos x="0" y="0"/>
                <wp:positionH relativeFrom="column">
                  <wp:posOffset>10009</wp:posOffset>
                </wp:positionH>
                <wp:positionV relativeFrom="paragraph">
                  <wp:posOffset>47421</wp:posOffset>
                </wp:positionV>
                <wp:extent cx="5610225" cy="5570290"/>
                <wp:effectExtent l="0" t="0" r="3175" b="5080"/>
                <wp:wrapNone/>
                <wp:docPr id="2" name="Grupo 2"/>
                <wp:cNvGraphicFramePr/>
                <a:graphic xmlns:a="http://schemas.openxmlformats.org/drawingml/2006/main">
                  <a:graphicData uri="http://schemas.microsoft.com/office/word/2010/wordprocessingGroup">
                    <wpg:wgp>
                      <wpg:cNvGrpSpPr/>
                      <wpg:grpSpPr>
                        <a:xfrm>
                          <a:off x="0" y="0"/>
                          <a:ext cx="5610225" cy="5570290"/>
                          <a:chOff x="0" y="192946"/>
                          <a:chExt cx="5611495" cy="4912092"/>
                        </a:xfrm>
                      </wpg:grpSpPr>
                      <pic:pic xmlns:pic="http://schemas.openxmlformats.org/drawingml/2006/picture">
                        <pic:nvPicPr>
                          <pic:cNvPr id="16" name="gráficos7"/>
                          <pic:cNvPicPr/>
                        </pic:nvPicPr>
                        <pic:blipFill rotWithShape="1">
                          <a:blip r:embed="rId18" cstate="print">
                            <a:lum/>
                            <a:alphaModFix/>
                            <a:extLst>
                              <a:ext uri="{28A0092B-C50C-407E-A947-70E740481C1C}">
                                <a14:useLocalDpi xmlns:a14="http://schemas.microsoft.com/office/drawing/2010/main" val="0"/>
                              </a:ext>
                            </a:extLst>
                          </a:blip>
                          <a:srcRect t="5212" b="14842"/>
                          <a:stretch/>
                        </pic:blipFill>
                        <pic:spPr bwMode="auto">
                          <a:xfrm>
                            <a:off x="0" y="192946"/>
                            <a:ext cx="5610860" cy="2959659"/>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9" name="gráficos8"/>
                          <pic:cNvPicPr/>
                        </pic:nvPicPr>
                        <pic:blipFill>
                          <a:blip r:embed="rId19" cstate="print">
                            <a:lum/>
                            <a:alphaModFix/>
                            <a:extLst>
                              <a:ext uri="{28A0092B-C50C-407E-A947-70E740481C1C}">
                                <a14:useLocalDpi xmlns:a14="http://schemas.microsoft.com/office/drawing/2010/main" val="0"/>
                              </a:ext>
                            </a:extLst>
                          </a:blip>
                          <a:srcRect/>
                          <a:stretch>
                            <a:fillRect/>
                          </a:stretch>
                        </pic:blipFill>
                        <pic:spPr>
                          <a:xfrm>
                            <a:off x="0" y="3156858"/>
                            <a:ext cx="5611495" cy="1948180"/>
                          </a:xfrm>
                          <a:prstGeom prst="rect">
                            <a:avLst/>
                          </a:prstGeom>
                          <a:ln>
                            <a:noFill/>
                            <a:prstDash/>
                          </a:ln>
                        </pic:spPr>
                      </pic:pic>
                    </wpg:wgp>
                  </a:graphicData>
                </a:graphic>
                <wp14:sizeRelH relativeFrom="margin">
                  <wp14:pctWidth>0</wp14:pctWidth>
                </wp14:sizeRelH>
                <wp14:sizeRelV relativeFrom="margin">
                  <wp14:pctHeight>0</wp14:pctHeight>
                </wp14:sizeRelV>
              </wp:anchor>
            </w:drawing>
          </mc:Choice>
          <mc:Fallback>
            <w:pict>
              <v:group w14:anchorId="143392E2" id="Grupo 2" o:spid="_x0000_s1026" style="position:absolute;margin-left:.8pt;margin-top:3.75pt;width:441.75pt;height:438.6pt;z-index:251663360;mso-width-relative:margin;mso-height-relative:margin" coordorigin=",1929" coordsize="56114,49120" o:gfxdata="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s7" o:spid="_x0000_s1027" type="#_x0000_t75" style="position:absolute;top:1929;width:56108;height:29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">
                  <v:imagedata r:id="rId25" o:title="" croptop="3416f" cropbottom="9727f"/>
                </v:shape>
                <v:shape id="gráficos8" o:spid="_x0000_s1028" type="#_x0000_t75" style="position:absolute;top:31568;width:56114;height:19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">
                  <v:imagedata r:id="rId26" o:title=""/>
                </v:shape>
              </v:group>
            </w:pict>
          </mc:Fallback>
        </mc:AlternateContent>
      </w:r>
    </w:p>
    <w:p w14:paraId="348ABA38" w14:textId="4916BC2D" w:rsidR="007C0BE3" w:rsidRDefault="007C0BE3" w:rsidP="007C0BE3">
      <w:pPr>
        <w:pStyle w:val="Standard"/>
        <w:spacing w:after="0" w:line="360" w:lineRule="auto"/>
        <w:ind w:firstLine="709"/>
        <w:jc w:val="both"/>
        <w:rPr>
          <w:noProof/>
          <w:lang w:eastAsia="es-CR"/>
        </w:rPr>
      </w:pPr>
    </w:p>
    <w:p w14:paraId="083DEF48" w14:textId="4B1143F8" w:rsidR="007C0BE3" w:rsidRDefault="007C0BE3" w:rsidP="007C0BE3">
      <w:pPr>
        <w:pStyle w:val="Standard"/>
        <w:spacing w:after="0" w:line="360" w:lineRule="auto"/>
        <w:ind w:firstLine="709"/>
        <w:jc w:val="both"/>
        <w:rPr>
          <w:noProof/>
          <w:lang w:eastAsia="es-CR"/>
        </w:rPr>
      </w:pPr>
    </w:p>
    <w:p w14:paraId="70695E60" w14:textId="15568E8D" w:rsidR="007C0BE3" w:rsidRDefault="007C0BE3" w:rsidP="007C0BE3">
      <w:pPr>
        <w:pStyle w:val="Standard"/>
        <w:spacing w:after="0" w:line="360" w:lineRule="auto"/>
        <w:ind w:firstLine="709"/>
        <w:jc w:val="both"/>
        <w:rPr>
          <w:noProof/>
          <w:lang w:eastAsia="es-CR"/>
        </w:rPr>
      </w:pPr>
    </w:p>
    <w:p w14:paraId="34A76C7F" w14:textId="15FA2399" w:rsidR="007C0BE3" w:rsidRDefault="007C0BE3" w:rsidP="007C0BE3">
      <w:pPr>
        <w:pStyle w:val="Standard"/>
        <w:spacing w:after="0" w:line="360" w:lineRule="auto"/>
        <w:ind w:firstLine="709"/>
        <w:jc w:val="both"/>
        <w:rPr>
          <w:noProof/>
          <w:lang w:eastAsia="es-CR"/>
        </w:rPr>
      </w:pPr>
    </w:p>
    <w:p w14:paraId="383467CB" w14:textId="4D7EADF6" w:rsidR="007C0BE3" w:rsidRDefault="007C0BE3" w:rsidP="007C0BE3">
      <w:pPr>
        <w:pStyle w:val="Standard"/>
        <w:spacing w:after="0" w:line="360" w:lineRule="auto"/>
        <w:ind w:firstLine="709"/>
        <w:jc w:val="both"/>
        <w:rPr>
          <w:noProof/>
          <w:lang w:eastAsia="es-CR"/>
        </w:rPr>
      </w:pPr>
    </w:p>
    <w:p w14:paraId="0FE4A0B2" w14:textId="50F57679" w:rsidR="007C0BE3" w:rsidRDefault="007C0BE3" w:rsidP="007C0BE3">
      <w:pPr>
        <w:pStyle w:val="Standard"/>
        <w:spacing w:after="0" w:line="360" w:lineRule="auto"/>
        <w:ind w:firstLine="709"/>
        <w:jc w:val="both"/>
        <w:rPr>
          <w:noProof/>
          <w:lang w:eastAsia="es-CR"/>
        </w:rPr>
      </w:pPr>
    </w:p>
    <w:p w14:paraId="73CEE76E" w14:textId="6391613E" w:rsidR="007C0BE3" w:rsidRDefault="007C0BE3" w:rsidP="007C0BE3">
      <w:pPr>
        <w:pStyle w:val="Standard"/>
        <w:spacing w:after="0" w:line="360" w:lineRule="auto"/>
        <w:ind w:firstLine="709"/>
        <w:jc w:val="both"/>
        <w:rPr>
          <w:noProof/>
          <w:lang w:eastAsia="es-CR"/>
        </w:rPr>
      </w:pPr>
    </w:p>
    <w:p w14:paraId="5B4C7225" w14:textId="1EC3E17E" w:rsidR="007C0BE3" w:rsidRDefault="007C0BE3" w:rsidP="007C0BE3">
      <w:pPr>
        <w:pStyle w:val="Standard"/>
        <w:spacing w:after="0" w:line="360" w:lineRule="auto"/>
        <w:ind w:firstLine="709"/>
        <w:jc w:val="both"/>
        <w:rPr>
          <w:noProof/>
          <w:lang w:eastAsia="es-CR"/>
        </w:rPr>
      </w:pPr>
    </w:p>
    <w:p w14:paraId="5BAE4F67" w14:textId="4928F7D6" w:rsidR="007C0BE3" w:rsidRDefault="007C0BE3" w:rsidP="007C0BE3">
      <w:pPr>
        <w:pStyle w:val="Standard"/>
        <w:spacing w:after="0" w:line="360" w:lineRule="auto"/>
        <w:ind w:firstLine="709"/>
        <w:jc w:val="both"/>
        <w:rPr>
          <w:noProof/>
          <w:lang w:eastAsia="es-CR"/>
        </w:rPr>
      </w:pPr>
    </w:p>
    <w:p w14:paraId="43B8A947" w14:textId="1E42EF26" w:rsidR="007C0BE3" w:rsidRDefault="007C0BE3" w:rsidP="007C0BE3">
      <w:pPr>
        <w:pStyle w:val="Standard"/>
        <w:spacing w:after="0" w:line="360" w:lineRule="auto"/>
        <w:ind w:firstLine="709"/>
        <w:jc w:val="both"/>
        <w:rPr>
          <w:noProof/>
          <w:lang w:eastAsia="es-CR"/>
        </w:rPr>
      </w:pPr>
    </w:p>
    <w:p w14:paraId="08DD3CEE" w14:textId="2A772BD0" w:rsidR="007C0BE3" w:rsidRDefault="007C0BE3" w:rsidP="007C0BE3">
      <w:pPr>
        <w:pStyle w:val="Standard"/>
        <w:spacing w:after="0" w:line="360" w:lineRule="auto"/>
        <w:ind w:firstLine="709"/>
        <w:jc w:val="both"/>
        <w:rPr>
          <w:noProof/>
          <w:lang w:eastAsia="es-CR"/>
        </w:rPr>
      </w:pPr>
    </w:p>
    <w:p w14:paraId="38D88AA1" w14:textId="664B0193" w:rsidR="007C0BE3" w:rsidRDefault="007C0BE3" w:rsidP="007C0BE3">
      <w:pPr>
        <w:pStyle w:val="Standard"/>
        <w:spacing w:after="0" w:line="360" w:lineRule="auto"/>
        <w:ind w:firstLine="709"/>
        <w:jc w:val="both"/>
        <w:rPr>
          <w:noProof/>
          <w:lang w:eastAsia="es-CR"/>
        </w:rPr>
      </w:pPr>
    </w:p>
    <w:p w14:paraId="6688625B" w14:textId="193223DD" w:rsidR="007C0BE3" w:rsidRDefault="007C0BE3" w:rsidP="007C0BE3">
      <w:pPr>
        <w:pStyle w:val="Standard"/>
        <w:spacing w:after="0" w:line="360" w:lineRule="auto"/>
        <w:ind w:firstLine="709"/>
        <w:jc w:val="both"/>
        <w:rPr>
          <w:noProof/>
          <w:lang w:eastAsia="es-CR"/>
        </w:rPr>
      </w:pPr>
    </w:p>
    <w:p w14:paraId="339690DB" w14:textId="323FE48C" w:rsidR="007C0BE3" w:rsidRDefault="007C0BE3" w:rsidP="007C0BE3">
      <w:pPr>
        <w:pStyle w:val="Standard"/>
        <w:spacing w:after="0" w:line="360" w:lineRule="auto"/>
        <w:ind w:firstLine="709"/>
        <w:jc w:val="both"/>
        <w:rPr>
          <w:noProof/>
          <w:lang w:eastAsia="es-CR"/>
        </w:rPr>
      </w:pPr>
    </w:p>
    <w:p w14:paraId="582F912B" w14:textId="33E1154F" w:rsidR="007C0BE3" w:rsidRDefault="007C0BE3" w:rsidP="007C0BE3">
      <w:pPr>
        <w:pStyle w:val="Standard"/>
        <w:spacing w:after="0" w:line="360" w:lineRule="auto"/>
        <w:ind w:firstLine="709"/>
        <w:jc w:val="both"/>
        <w:rPr>
          <w:noProof/>
          <w:lang w:eastAsia="es-CR"/>
        </w:rPr>
      </w:pPr>
    </w:p>
    <w:p w14:paraId="5CFB46BF" w14:textId="2ED5FF6E" w:rsidR="007C0BE3" w:rsidRDefault="007C0BE3" w:rsidP="007C0BE3">
      <w:pPr>
        <w:pStyle w:val="Standard"/>
        <w:spacing w:after="0" w:line="360" w:lineRule="auto"/>
        <w:ind w:firstLine="709"/>
        <w:jc w:val="both"/>
        <w:rPr>
          <w:noProof/>
          <w:lang w:eastAsia="es-CR"/>
        </w:rPr>
      </w:pPr>
    </w:p>
    <w:p w14:paraId="62B4E3F8" w14:textId="509A8619" w:rsidR="007C0BE3" w:rsidRDefault="007C0BE3" w:rsidP="007C0BE3">
      <w:pPr>
        <w:pStyle w:val="Standard"/>
        <w:spacing w:after="0" w:line="360" w:lineRule="auto"/>
        <w:ind w:firstLine="709"/>
        <w:jc w:val="both"/>
        <w:rPr>
          <w:noProof/>
          <w:lang w:eastAsia="es-CR"/>
        </w:rPr>
      </w:pPr>
    </w:p>
    <w:p w14:paraId="5317413A" w14:textId="3E2E273C" w:rsidR="007C0BE3" w:rsidRDefault="007C0BE3" w:rsidP="007C0BE3">
      <w:pPr>
        <w:pStyle w:val="Standard"/>
        <w:spacing w:after="0" w:line="360" w:lineRule="auto"/>
        <w:ind w:firstLine="709"/>
        <w:jc w:val="both"/>
        <w:rPr>
          <w:noProof/>
          <w:lang w:eastAsia="es-CR"/>
        </w:rPr>
      </w:pPr>
    </w:p>
    <w:p w14:paraId="0BA4087C" w14:textId="2EE62ECD" w:rsidR="007C0BE3" w:rsidRDefault="007C0BE3" w:rsidP="007C0BE3">
      <w:pPr>
        <w:pStyle w:val="Standard"/>
        <w:spacing w:after="0" w:line="360" w:lineRule="auto"/>
        <w:ind w:firstLine="709"/>
        <w:jc w:val="both"/>
        <w:rPr>
          <w:noProof/>
          <w:lang w:eastAsia="es-CR"/>
        </w:rPr>
      </w:pPr>
    </w:p>
    <w:p w14:paraId="68914D4A" w14:textId="3F9D4AA2" w:rsidR="00E10342" w:rsidRPr="007C0BE3" w:rsidRDefault="007C0BE3" w:rsidP="007C0BE3">
      <w:pPr>
        <w:pStyle w:val="Standard"/>
        <w:spacing w:after="0" w:line="360" w:lineRule="auto"/>
        <w:jc w:val="both"/>
        <w:rPr>
          <w:rFonts w:ascii="Times New Roman" w:hAnsi="Times New Roman" w:cs="Times New Roman"/>
          <w:bCs/>
          <w:sz w:val="24"/>
          <w:szCs w:val="24"/>
        </w:rPr>
      </w:pPr>
      <w:r>
        <w:rPr>
          <w:noProof/>
          <w:lang w:eastAsia="es-CR"/>
        </w:rPr>
        <w:lastRenderedPageBreak/>
        <w:drawing>
          <wp:anchor distT="0" distB="0" distL="114300" distR="114300" simplePos="0" relativeHeight="251658240" behindDoc="1" locked="0" layoutInCell="1" allowOverlap="1" wp14:anchorId="02672F64" wp14:editId="04E01DA7">
            <wp:simplePos x="0" y="0"/>
            <wp:positionH relativeFrom="column">
              <wp:posOffset>-76835</wp:posOffset>
            </wp:positionH>
            <wp:positionV relativeFrom="paragraph">
              <wp:posOffset>2540</wp:posOffset>
            </wp:positionV>
            <wp:extent cx="5611495" cy="2313305"/>
            <wp:effectExtent l="0" t="0" r="1905" b="0"/>
            <wp:wrapSquare wrapText="bothSides"/>
            <wp:docPr id="18" name="gráficos9"/>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lum/>
                      <a:alphaModFix/>
                      <a:extLst>
                        <a:ext uri="{28A0092B-C50C-407E-A947-70E740481C1C}">
                          <a14:useLocalDpi xmlns:a14="http://schemas.microsoft.com/office/drawing/2010/main" val="0"/>
                        </a:ext>
                      </a:extLst>
                    </a:blip>
                    <a:srcRect b="8824"/>
                    <a:stretch/>
                  </pic:blipFill>
                  <pic:spPr bwMode="auto">
                    <a:xfrm>
                      <a:off x="0" y="0"/>
                      <a:ext cx="5611495" cy="2313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829F4">
        <w:rPr>
          <w:rFonts w:ascii="Times New Roman" w:hAnsi="Times New Roman" w:cs="Times New Roman"/>
          <w:bCs/>
          <w:sz w:val="24"/>
          <w:szCs w:val="24"/>
        </w:rPr>
        <w:t xml:space="preserve">Fuente: </w:t>
      </w:r>
      <w:r>
        <w:rPr>
          <w:rFonts w:ascii="Times New Roman" w:hAnsi="Times New Roman" w:cs="Times New Roman"/>
          <w:bCs/>
          <w:sz w:val="24"/>
          <w:szCs w:val="24"/>
        </w:rPr>
        <w:t>E</w:t>
      </w:r>
      <w:r w:rsidRPr="00F829F4">
        <w:rPr>
          <w:rFonts w:ascii="Times New Roman" w:hAnsi="Times New Roman" w:cs="Times New Roman"/>
          <w:bCs/>
          <w:sz w:val="24"/>
          <w:szCs w:val="24"/>
        </w:rPr>
        <w:t>laboración propia (2020).</w:t>
      </w:r>
    </w:p>
    <w:p w14:paraId="294F0615" w14:textId="77777777" w:rsidR="00E10342" w:rsidRPr="007C0BE3" w:rsidRDefault="00D31DDB" w:rsidP="007C0BE3">
      <w:pPr>
        <w:pStyle w:val="Ttulo1"/>
      </w:pPr>
      <w:r>
        <w:br w:type="column"/>
      </w:r>
      <w:bookmarkStart w:id="314" w:name="_Toc61277012"/>
      <w:bookmarkStart w:id="315" w:name="__RefHeading__27507_1894434827"/>
      <w:bookmarkStart w:id="316" w:name="_Toc62463362"/>
      <w:bookmarkStart w:id="317" w:name="_Toc62476097"/>
      <w:bookmarkStart w:id="318" w:name="_Toc62476303"/>
      <w:bookmarkStart w:id="319" w:name="_Toc63688967"/>
      <w:r w:rsidRPr="007C0BE3">
        <w:lastRenderedPageBreak/>
        <w:t>Capítulo V</w:t>
      </w:r>
      <w:bookmarkEnd w:id="314"/>
      <w:bookmarkEnd w:id="315"/>
      <w:bookmarkEnd w:id="316"/>
      <w:bookmarkEnd w:id="317"/>
      <w:bookmarkEnd w:id="318"/>
      <w:bookmarkEnd w:id="319"/>
    </w:p>
    <w:p w14:paraId="57A92EE4" w14:textId="77777777" w:rsidR="00E10342" w:rsidRPr="007C0BE3" w:rsidRDefault="00D31DDB" w:rsidP="007C0BE3">
      <w:pPr>
        <w:pStyle w:val="Ttulo1"/>
      </w:pPr>
      <w:bookmarkStart w:id="320" w:name="__RefHeading__27509_1894434827"/>
      <w:bookmarkStart w:id="321" w:name="_Toc61277013"/>
      <w:bookmarkStart w:id="322" w:name="_Toc62463363"/>
      <w:bookmarkStart w:id="323" w:name="_Toc62476098"/>
      <w:bookmarkStart w:id="324" w:name="_Toc62476304"/>
      <w:bookmarkStart w:id="325" w:name="_Toc63688968"/>
      <w:r w:rsidRPr="007C0BE3">
        <w:t>Análisis de Resultados</w:t>
      </w:r>
      <w:bookmarkEnd w:id="320"/>
      <w:bookmarkEnd w:id="321"/>
      <w:bookmarkEnd w:id="322"/>
      <w:bookmarkEnd w:id="323"/>
      <w:bookmarkEnd w:id="324"/>
      <w:bookmarkEnd w:id="325"/>
    </w:p>
    <w:p w14:paraId="1078C3D0" w14:textId="77777777" w:rsidR="00E10342" w:rsidRDefault="00D31DDB" w:rsidP="007C0B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Con el fin de lograr un acercamiento a la temática de estudio, se estableció un proceso de obtención de información que permitió recopilar datos necesarios para su conocimiento, comprensión y análisis. Dicho proceso se expone mediante una serie de momentos, señalados a continuación:</w:t>
      </w:r>
    </w:p>
    <w:p w14:paraId="03FCB405" w14:textId="77777777" w:rsidR="00E10342" w:rsidRPr="00DD7EE3" w:rsidRDefault="00D31DDB" w:rsidP="00DD7EE3">
      <w:pPr>
        <w:pStyle w:val="Prrafodelista"/>
        <w:numPr>
          <w:ilvl w:val="0"/>
          <w:numId w:val="46"/>
        </w:numPr>
        <w:tabs>
          <w:tab w:val="left" w:pos="1701"/>
        </w:tabs>
        <w:ind w:left="993" w:hanging="284"/>
        <w:rPr>
          <w:rFonts w:ascii="Times New Roman" w:hAnsi="Times New Roman" w:cs="Times New Roman"/>
          <w:bCs/>
          <w:sz w:val="24"/>
          <w:szCs w:val="28"/>
        </w:rPr>
      </w:pPr>
      <w:r w:rsidRPr="00DD7EE3">
        <w:rPr>
          <w:rFonts w:ascii="Times New Roman" w:hAnsi="Times New Roman" w:cs="Times New Roman"/>
          <w:bCs/>
          <w:sz w:val="24"/>
          <w:szCs w:val="28"/>
        </w:rPr>
        <w:t>I Momento: Inserción</w:t>
      </w:r>
    </w:p>
    <w:p w14:paraId="1092D2CD" w14:textId="24830712" w:rsidR="00E10342" w:rsidRDefault="00D31DDB" w:rsidP="007C0B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Este momento representó un primer acercamiento al espacio institucional de estudio, el Juzgado contra la Violencia Doméstica II Circuito Judicial de San José, lo cual permitió obtener conocimiento general acerca de la realidad social en la que interviene, así como su funcionamiento y dinámicas internas, aspectos necesarios para, posteriormente, enfatizar la investigación en el problema y objetivos señalados.</w:t>
      </w:r>
    </w:p>
    <w:p w14:paraId="01862453" w14:textId="77777777" w:rsidR="00E10342" w:rsidRPr="00DD7EE3" w:rsidRDefault="00D31DDB" w:rsidP="00DD7EE3">
      <w:pPr>
        <w:pStyle w:val="Prrafodelista"/>
        <w:numPr>
          <w:ilvl w:val="0"/>
          <w:numId w:val="46"/>
        </w:numPr>
        <w:tabs>
          <w:tab w:val="left" w:pos="1701"/>
        </w:tabs>
        <w:ind w:left="993" w:hanging="284"/>
        <w:rPr>
          <w:rFonts w:ascii="Times New Roman" w:hAnsi="Times New Roman" w:cs="Times New Roman"/>
          <w:bCs/>
          <w:sz w:val="24"/>
          <w:szCs w:val="28"/>
        </w:rPr>
      </w:pPr>
      <w:r w:rsidRPr="00DD7EE3">
        <w:rPr>
          <w:rFonts w:ascii="Times New Roman" w:hAnsi="Times New Roman" w:cs="Times New Roman"/>
          <w:bCs/>
          <w:sz w:val="24"/>
          <w:szCs w:val="28"/>
        </w:rPr>
        <w:t>II Momento: Recolección y Procesamiento de Información</w:t>
      </w:r>
    </w:p>
    <w:p w14:paraId="122C3BFA" w14:textId="0C34A6AC" w:rsidR="00E10342" w:rsidRDefault="00D31DDB" w:rsidP="007C0B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Con un panorama general de la vulnerabilidad cognitiva en mujeres víctimas de VI con edades entre los 27 a 35 años a analizar, se procedió a la recolección de información para la descripción de las categorías, mediante las cuales fue posible conocer con mayor detalle el contexto y dinámica institucional. Para ello, se realizaron 10 entrevistas semiestructuradas a los funcionarios y funcionarias que durante el momento de inserción lograron contactarse, así como el estudio de 30 expedientes judiciales, donde se analizó igual cantidad de expedientes de los años 2018 y 2019, asignados al azar.</w:t>
      </w:r>
    </w:p>
    <w:p w14:paraId="4605A5A9" w14:textId="36A8A3F2" w:rsidR="00E10342" w:rsidRDefault="00D31DDB" w:rsidP="007C0BE3">
      <w:pPr>
        <w:pStyle w:val="Standard"/>
        <w:spacing w:after="0" w:line="360" w:lineRule="auto"/>
        <w:ind w:firstLine="709"/>
        <w:jc w:val="both"/>
      </w:pPr>
      <w:r>
        <w:rPr>
          <w:rFonts w:ascii="Times New Roman" w:hAnsi="Times New Roman" w:cs="Times New Roman"/>
          <w:bCs/>
          <w:sz w:val="24"/>
          <w:szCs w:val="24"/>
        </w:rPr>
        <w:t>Lo anterior se realizó con el fin de contar con información relevante, que permitiera reconstruir el proceso de atención e identificar en qué momento se identifica la de VI, con edades entre los 27 y 35 años, en el Juzgado Contra la Violencia Doméstica II Circuito Judicial de San José. Se realizaron entrevistas y análisis de expedientes judiciales; también se conoció, con mayor profundidad, el proceso de intervención del personal técnico de la oficina judicial, así como de las personas juzgadoras y del Departamento de Trabajo Social y Psicología, con el fin de saber sobre al abordaje y sobre qué acciones se despliegan en la atención de la vulnerabilidad cognitiva en mujer víctimas, así como del aporte al proceso judicial de violencia doméstica desarrollado.</w:t>
      </w:r>
    </w:p>
    <w:p w14:paraId="61B12071" w14:textId="7EA63A86" w:rsidR="00E10342" w:rsidRDefault="00D31DDB" w:rsidP="007C0B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Obtenida la información, se hizo necesaria su transcripción, ordenamiento y sistematización, según las categorías de análisis establecidas, en función de los insumos </w:t>
      </w:r>
      <w:r>
        <w:rPr>
          <w:rFonts w:ascii="Times New Roman" w:hAnsi="Times New Roman" w:cs="Times New Roman"/>
          <w:bCs/>
          <w:sz w:val="24"/>
          <w:szCs w:val="24"/>
        </w:rPr>
        <w:lastRenderedPageBreak/>
        <w:t>necesarios para el cumplimiento de los objetivos propuestos para la investigación. Esta actividad permitió el posterior análisis de la información.</w:t>
      </w:r>
    </w:p>
    <w:p w14:paraId="3D1A39B2" w14:textId="77777777" w:rsidR="00E10342" w:rsidRPr="00DD7EE3" w:rsidRDefault="00D31DDB" w:rsidP="00DD7EE3">
      <w:pPr>
        <w:pStyle w:val="Prrafodelista"/>
        <w:numPr>
          <w:ilvl w:val="0"/>
          <w:numId w:val="46"/>
        </w:numPr>
        <w:tabs>
          <w:tab w:val="left" w:pos="1701"/>
        </w:tabs>
        <w:ind w:left="993" w:hanging="284"/>
        <w:rPr>
          <w:rFonts w:ascii="Times New Roman" w:hAnsi="Times New Roman" w:cs="Times New Roman"/>
          <w:bCs/>
          <w:sz w:val="24"/>
          <w:szCs w:val="28"/>
        </w:rPr>
      </w:pPr>
      <w:r w:rsidRPr="00DD7EE3">
        <w:rPr>
          <w:rFonts w:ascii="Times New Roman" w:hAnsi="Times New Roman" w:cs="Times New Roman"/>
          <w:bCs/>
          <w:sz w:val="24"/>
          <w:szCs w:val="28"/>
        </w:rPr>
        <w:t>III Momento: Análisis de Información</w:t>
      </w:r>
    </w:p>
    <w:p w14:paraId="322425B3" w14:textId="4EA6E217" w:rsidR="00E10342" w:rsidRDefault="00D31DDB" w:rsidP="00DD7E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La información obtenida se analizó mediante su descripción, así como del análisis de la forma en que influyen recíprocamente. Por consiguiente, se presentan los resultados obtenidos, describiendo y relacionando las categorías de análisis, dando respuesta al problema y objetivos de la investigación. Con esto, se busca aportar, no solo a la formación profesional, sino también a la realidad institucional que fue investigada. Asimismo, es importante mencionar que se analizó la información desde el enfoque de género. Para complementar las bases teóricas, posturas y enfoques, se procedió a relacionar la información de legislación, pericias y atención usuaria con el fin de obtener un mejor análisis de los datos. En el siguiente esquema, se muestra de manera gráfica esta relación:</w:t>
      </w:r>
    </w:p>
    <w:p w14:paraId="429802CE" w14:textId="1E7417A9" w:rsidR="000424F2" w:rsidRDefault="008627AC" w:rsidP="008627AC">
      <w:pPr>
        <w:pStyle w:val="Descripcin"/>
        <w:spacing w:after="0" w:line="360" w:lineRule="auto"/>
        <w:rPr>
          <w:rFonts w:ascii="Times New Roman" w:hAnsi="Times New Roman" w:cs="Times New Roman"/>
          <w:b/>
          <w:bCs/>
          <w:color w:val="000000" w:themeColor="text1"/>
          <w:sz w:val="24"/>
          <w:szCs w:val="24"/>
        </w:rPr>
      </w:pPr>
      <w:bookmarkStart w:id="326" w:name="_Toc62485132"/>
      <w:r w:rsidRPr="008627AC">
        <w:rPr>
          <w:rFonts w:ascii="Times New Roman" w:hAnsi="Times New Roman" w:cs="Times New Roman"/>
          <w:b/>
          <w:bCs/>
          <w:i w:val="0"/>
          <w:iCs w:val="0"/>
          <w:color w:val="000000" w:themeColor="text1"/>
          <w:sz w:val="24"/>
          <w:szCs w:val="24"/>
        </w:rPr>
        <w:t xml:space="preserve">Ilustración </w:t>
      </w:r>
      <w:r w:rsidRPr="008627AC">
        <w:rPr>
          <w:rFonts w:ascii="Times New Roman" w:hAnsi="Times New Roman" w:cs="Times New Roman"/>
          <w:b/>
          <w:bCs/>
          <w:i w:val="0"/>
          <w:iCs w:val="0"/>
          <w:color w:val="000000" w:themeColor="text1"/>
          <w:sz w:val="24"/>
          <w:szCs w:val="24"/>
        </w:rPr>
        <w:fldChar w:fldCharType="begin"/>
      </w:r>
      <w:r w:rsidRPr="008627AC">
        <w:rPr>
          <w:rFonts w:ascii="Times New Roman" w:hAnsi="Times New Roman" w:cs="Times New Roman"/>
          <w:b/>
          <w:bCs/>
          <w:i w:val="0"/>
          <w:iCs w:val="0"/>
          <w:color w:val="000000" w:themeColor="text1"/>
          <w:sz w:val="24"/>
          <w:szCs w:val="24"/>
        </w:rPr>
        <w:instrText xml:space="preserve"> SEQ Ilustración \* ARABIC </w:instrText>
      </w:r>
      <w:r w:rsidRPr="008627AC">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1</w:t>
      </w:r>
      <w:r w:rsidRPr="008627AC">
        <w:rPr>
          <w:rFonts w:ascii="Times New Roman" w:hAnsi="Times New Roman" w:cs="Times New Roman"/>
          <w:b/>
          <w:bCs/>
          <w:i w:val="0"/>
          <w:iCs w:val="0"/>
          <w:color w:val="000000" w:themeColor="text1"/>
          <w:sz w:val="24"/>
          <w:szCs w:val="24"/>
        </w:rPr>
        <w:fldChar w:fldCharType="end"/>
      </w:r>
      <w:r w:rsidRPr="008627AC">
        <w:rPr>
          <w:rFonts w:ascii="Times New Roman" w:hAnsi="Times New Roman" w:cs="Times New Roman"/>
          <w:b/>
          <w:bCs/>
          <w:i w:val="0"/>
          <w:iCs w:val="0"/>
          <w:color w:val="000000" w:themeColor="text1"/>
          <w:sz w:val="24"/>
          <w:szCs w:val="24"/>
        </w:rPr>
        <w:t>.</w:t>
      </w:r>
      <w:r w:rsidRPr="008627AC">
        <w:rPr>
          <w:rFonts w:ascii="Times New Roman" w:hAnsi="Times New Roman" w:cs="Times New Roman"/>
          <w:b/>
          <w:bCs/>
          <w:color w:val="000000" w:themeColor="text1"/>
          <w:sz w:val="24"/>
          <w:szCs w:val="24"/>
        </w:rPr>
        <w:t xml:space="preserve"> </w:t>
      </w:r>
    </w:p>
    <w:p w14:paraId="7C8D29F7" w14:textId="5172F7C4" w:rsidR="008627AC" w:rsidRPr="008627AC" w:rsidRDefault="008627AC" w:rsidP="008627AC">
      <w:pPr>
        <w:pStyle w:val="Descripcin"/>
        <w:spacing w:after="0" w:line="360" w:lineRule="auto"/>
        <w:rPr>
          <w:rFonts w:ascii="Times New Roman" w:hAnsi="Times New Roman" w:cs="Times New Roman"/>
          <w:b/>
          <w:bCs/>
          <w:color w:val="000000" w:themeColor="text1"/>
          <w:sz w:val="24"/>
          <w:szCs w:val="24"/>
          <w:highlight w:val="yellow"/>
        </w:rPr>
      </w:pPr>
      <w:r w:rsidRPr="008627AC">
        <w:rPr>
          <w:rFonts w:ascii="Times New Roman" w:hAnsi="Times New Roman" w:cs="Times New Roman"/>
          <w:b/>
          <w:bCs/>
          <w:color w:val="000000" w:themeColor="text1"/>
          <w:sz w:val="24"/>
          <w:szCs w:val="24"/>
        </w:rPr>
        <w:t>Relación entre Información sobre Legislación, Pericia y Atención Usuaria.</w:t>
      </w:r>
      <w:bookmarkEnd w:id="326"/>
    </w:p>
    <w:p w14:paraId="63A4F9A2" w14:textId="6542ED83" w:rsidR="00E10342" w:rsidRDefault="00D96753" w:rsidP="00DD7EE3">
      <w:pPr>
        <w:pStyle w:val="Standard"/>
        <w:spacing w:after="0" w:line="360" w:lineRule="auto"/>
        <w:jc w:val="center"/>
        <w:rPr>
          <w:rFonts w:ascii="Times New Roman" w:hAnsi="Times New Roman" w:cs="Times New Roman"/>
          <w:bCs/>
          <w:sz w:val="24"/>
          <w:szCs w:val="24"/>
        </w:rPr>
      </w:pPr>
      <w:r>
        <w:rPr>
          <w:rFonts w:ascii="Times New Roman" w:hAnsi="Times New Roman" w:cs="Times New Roman"/>
          <w:bCs/>
          <w:noProof/>
          <w:sz w:val="24"/>
          <w:szCs w:val="24"/>
          <w:lang w:eastAsia="es-CR"/>
        </w:rPr>
        <w:drawing>
          <wp:inline distT="0" distB="0" distL="0" distR="0" wp14:anchorId="43692DCF" wp14:editId="350F3E09">
            <wp:extent cx="2971800" cy="1762125"/>
            <wp:effectExtent l="0" t="0" r="0" b="9525"/>
            <wp:docPr id="37" name="Diagrama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F243AE5" w14:textId="6B09E292" w:rsidR="00E10342" w:rsidRPr="008627AC" w:rsidRDefault="00D31DDB" w:rsidP="00DD7EE3">
      <w:pPr>
        <w:pStyle w:val="Standard"/>
        <w:spacing w:after="0" w:line="360" w:lineRule="auto"/>
        <w:jc w:val="both"/>
        <w:rPr>
          <w:iCs/>
        </w:rPr>
      </w:pPr>
      <w:r w:rsidRPr="008627AC">
        <w:rPr>
          <w:rFonts w:ascii="Times New Roman" w:hAnsi="Times New Roman" w:cs="Times New Roman"/>
          <w:bCs/>
          <w:iCs/>
          <w:sz w:val="24"/>
          <w:szCs w:val="24"/>
        </w:rPr>
        <w:t>Fuente: Elaboración propia (2020).</w:t>
      </w:r>
    </w:p>
    <w:p w14:paraId="3BF44D5E" w14:textId="77777777" w:rsidR="00E10342" w:rsidRDefault="00D31DDB" w:rsidP="002F3FB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Aunado a esta relación, es importante iniciar el análisis con la comprensión del enfoque de género.</w:t>
      </w:r>
    </w:p>
    <w:p w14:paraId="2648D163" w14:textId="66EE455D" w:rsidR="00E10342" w:rsidRDefault="00D31DDB">
      <w:pPr>
        <w:pStyle w:val="Ttulo2"/>
      </w:pPr>
      <w:bookmarkStart w:id="327" w:name="__RefHeading__27511_1894434827"/>
      <w:bookmarkStart w:id="328" w:name="_Toc61277014"/>
      <w:bookmarkStart w:id="329" w:name="_Toc62463364"/>
      <w:bookmarkStart w:id="330" w:name="_Toc62476099"/>
      <w:bookmarkStart w:id="331" w:name="_Toc62476305"/>
      <w:bookmarkStart w:id="332" w:name="_Toc63688969"/>
      <w:r>
        <w:t>5.1 Enfoque de Género</w:t>
      </w:r>
      <w:bookmarkEnd w:id="327"/>
      <w:bookmarkEnd w:id="328"/>
      <w:bookmarkEnd w:id="329"/>
      <w:bookmarkEnd w:id="330"/>
      <w:bookmarkEnd w:id="331"/>
      <w:bookmarkEnd w:id="332"/>
    </w:p>
    <w:p w14:paraId="52958C52" w14:textId="555AEB0A" w:rsidR="00E10342" w:rsidRDefault="00D31DDB" w:rsidP="00CB76AF">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Es de suma importancia para este trabajo comprender que el enfoque de género se orienta a definir por qué y cómo la diferencia sexual entre hombres y mujeres da como resultado diferencias sociales, en cuanto al acceso a oportunidades para unos y para otras en el estudio, el trabajo, la política, la justicia, entre otros. Asimismo, esta diferencia responde a una construcción sociohistórica, con condicionantes económicas, culturales y políticas, constituyéndose en una realidad compleja, de carácter dinámico. Por tal </w:t>
      </w:r>
      <w:r>
        <w:rPr>
          <w:rFonts w:ascii="Times New Roman" w:hAnsi="Times New Roman" w:cs="Times New Roman"/>
          <w:bCs/>
          <w:sz w:val="24"/>
          <w:szCs w:val="24"/>
        </w:rPr>
        <w:lastRenderedPageBreak/>
        <w:t>construcción del género, se da en este TFG el análisis de la información en función de la necesidad del reconocimiento de la atención de la vulnerabilidad cognitiva en mujeres víctimas de violencia intrafamiliar en el Poder Judicial, en edades entre los 27 y 35 años, con miras a analizar e identificar aspectos de este servicio que deben ser retomados o reforzados, a la luz de los intereses de la población usuaria: las mujeres víctimas de V. I.</w:t>
      </w:r>
    </w:p>
    <w:p w14:paraId="4E34F8F5" w14:textId="77777777" w:rsidR="00E10342" w:rsidRDefault="00D31DDB" w:rsidP="00CB76AF">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Por otro lado, es importante recalcar que el análisis de la atención brindada a las mujeres entre los 27 y 35 años víctimas de V. I. con vulnerabilidad cognitiva en el Juzgado Contra la Violencia Doméstica del II Circuito Judicial desde este enfoque implicó conocer las concepciones de los funcionarios y funcionarias sobre las construcciones de género, base a partir de la cual establecen su concepción sobre la V. I., así como reconocen la existencia de factores estructurales de la realidad que provocan determinadas condiciones contextuales, las cuales obligan a demandar servicios judiciales.</w:t>
      </w:r>
    </w:p>
    <w:p w14:paraId="613FC0AB" w14:textId="1BF7C9EF" w:rsidR="00E10342" w:rsidRDefault="00D31DDB" w:rsidP="00CB76AF">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También se abordó la relación entre el proceso judicial y la legislación vinculada a la materia debido a que, para conocer del abordaje de la vulnerabilidad cognitiva, se requiere conocer acerca de lo establecido en el ámbito formal normativo, así como la estructura institucional que da soporte y permite la operacionalización de esa norma.</w:t>
      </w:r>
    </w:p>
    <w:p w14:paraId="65CF4F03" w14:textId="77777777" w:rsidR="00E10342" w:rsidRDefault="00D31DDB" w:rsidP="00CB76AF">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Finalmente, es necesario considerar el componente político-cultural que influencia la ejecución de esta.</w:t>
      </w:r>
    </w:p>
    <w:p w14:paraId="5D171FB2" w14:textId="0BE31968" w:rsidR="00E10342" w:rsidRDefault="00D31DDB" w:rsidP="00CB76AF">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 parte de la consideración de que la legislación es la manera en que se concreta el derecho, que en esencia es un sistema legitimado de control y coerción que dicta normas a la población, configurando los distintos ámbitos de la vida en sociedad, y reproduciendo con ello determinado orden social.</w:t>
      </w:r>
    </w:p>
    <w:p w14:paraId="5B27E84C" w14:textId="22525D36" w:rsidR="00E10342" w:rsidRDefault="00D31DDB" w:rsidP="00CB76AF">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Por lo anterior, se toma como punto de partida el planteamiento de que la promulgación de legislación influye en el contexto social, político y cultural, de la misma manera que, al formar parte de la política pública, impacta en el desarrollo de los servicios sociales pertinentes a la materia que aborde.</w:t>
      </w:r>
    </w:p>
    <w:p w14:paraId="2F210139" w14:textId="5DE7EC9B" w:rsidR="00E10342" w:rsidRPr="00CB76AF" w:rsidRDefault="00D31DDB" w:rsidP="00CB76AF">
      <w:pPr>
        <w:pStyle w:val="Ttulo2"/>
        <w:jc w:val="both"/>
      </w:pPr>
      <w:bookmarkStart w:id="333" w:name="_Toc61277015"/>
      <w:bookmarkStart w:id="334" w:name="__RefHeading__27513_1894434827"/>
      <w:bookmarkStart w:id="335" w:name="_Toc62463365"/>
      <w:bookmarkStart w:id="336" w:name="_Toc62476100"/>
      <w:bookmarkStart w:id="337" w:name="_Toc62476306"/>
      <w:bookmarkStart w:id="338" w:name="_Toc63688970"/>
      <w:r w:rsidRPr="00CB76AF">
        <w:t xml:space="preserve">5.2 Características de la V. I. </w:t>
      </w:r>
      <w:r w:rsidR="00CB76AF" w:rsidRPr="00CB76AF">
        <w:t xml:space="preserve">que presentan las mujeres víctimas </w:t>
      </w:r>
      <w:r w:rsidRPr="00CB76AF">
        <w:t>en el Juzgado Contra la Violencia Doméstica del II Circuito Judicial de San José</w:t>
      </w:r>
      <w:bookmarkEnd w:id="333"/>
      <w:bookmarkEnd w:id="334"/>
      <w:bookmarkEnd w:id="335"/>
      <w:bookmarkEnd w:id="336"/>
      <w:bookmarkEnd w:id="337"/>
      <w:bookmarkEnd w:id="338"/>
    </w:p>
    <w:p w14:paraId="2038B675" w14:textId="7E1A077D" w:rsidR="00E10342" w:rsidRDefault="00D31DDB" w:rsidP="00CB76AF">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Resulta indispensable indicar que la V. D. y la V. I. se refieren a la violencia que sufre la mujer por parte de su pareja o expareja sentimental, que es una manifestación de la </w:t>
      </w:r>
      <w:r>
        <w:rPr>
          <w:rFonts w:ascii="Times New Roman" w:hAnsi="Times New Roman" w:cs="Times New Roman"/>
          <w:bCs/>
          <w:sz w:val="24"/>
          <w:szCs w:val="24"/>
        </w:rPr>
        <w:lastRenderedPageBreak/>
        <w:t>violencia de género, razón por la cual se hace alusión a la normativa nacional e internacional existente, que es precisamente el aporte que dicho concepto hace al presente trabajo.</w:t>
      </w:r>
    </w:p>
    <w:p w14:paraId="3ABC7CAC" w14:textId="48A4F1E7" w:rsidR="00E10342" w:rsidRDefault="00D31DDB" w:rsidP="00422D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Asimismo, la Ley N.º 6968 es el instrumento legal por medio del cual Costa Rica ratifica la Convención sobre la Eliminación de Todas las Formas de Discriminación contra la Mujer (CEDAW),</w:t>
      </w:r>
      <w:r w:rsidR="00574818">
        <w:rPr>
          <w:rFonts w:ascii="Times New Roman" w:hAnsi="Times New Roman" w:cs="Times New Roman"/>
          <w:bCs/>
          <w:sz w:val="24"/>
          <w:szCs w:val="24"/>
        </w:rPr>
        <w:t xml:space="preserve"> </w:t>
      </w:r>
      <w:r>
        <w:rPr>
          <w:rFonts w:ascii="Times New Roman" w:hAnsi="Times New Roman" w:cs="Times New Roman"/>
          <w:bCs/>
          <w:sz w:val="24"/>
          <w:szCs w:val="24"/>
        </w:rPr>
        <w:t>por la que establece lo siguiente:</w:t>
      </w:r>
    </w:p>
    <w:p w14:paraId="6C07A7FA" w14:textId="77777777" w:rsidR="00E10342" w:rsidRDefault="00D31DDB" w:rsidP="00422DE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de la mujer, de los derechos humanos y las libertades fundamentales en las esferas política, económica, social, cultural y civil o en cualquier otra esfera. (Ley N.º 6968, artículo 1)</w:t>
      </w:r>
    </w:p>
    <w:p w14:paraId="7CC40552" w14:textId="5489A721" w:rsidR="00E10342" w:rsidRDefault="00D31DDB" w:rsidP="00422D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Además, para el análisis, se procedió a revisar 30 expedientes judiciales fraccionados en partes iguales para los años 2018 y 2019, en donde la edad de víctimas y presuntas víctimas fue de 27 a 35 años, por regla general, aunque se incluyeron dos casos fuera del rango de 40 y 47 años, por ser al azar la obtención de los expedientes facilitada por el juzgado en estudio y la Oficina de Archivo Judicial.</w:t>
      </w:r>
    </w:p>
    <w:p w14:paraId="070D2363" w14:textId="77777777" w:rsidR="00E10342" w:rsidRDefault="00D31DDB" w:rsidP="00422DE3">
      <w:pPr>
        <w:pStyle w:val="Standard"/>
        <w:spacing w:after="0" w:line="360" w:lineRule="auto"/>
        <w:ind w:firstLine="709"/>
        <w:jc w:val="both"/>
      </w:pPr>
      <w:r>
        <w:rPr>
          <w:rFonts w:ascii="Times New Roman" w:hAnsi="Times New Roman" w:cs="Times New Roman"/>
          <w:bCs/>
          <w:sz w:val="24"/>
          <w:szCs w:val="24"/>
        </w:rPr>
        <w:t xml:space="preserve">En cuanto a las edades predominantes en que las mujeres solicitan con más regularidad medidas, se encuentran los 28 y los 33 años. En el estudio efectuado, ambos grupos etarios reportaron 3 veces cada uno, seguido por las mujeres con edades de 31, 34, 40 y 26, y cada uno de estos grupos reportaron 2 veces; </w:t>
      </w:r>
      <w:proofErr w:type="gramStart"/>
      <w:r>
        <w:rPr>
          <w:rFonts w:ascii="Times New Roman" w:hAnsi="Times New Roman" w:cs="Times New Roman"/>
          <w:bCs/>
          <w:sz w:val="24"/>
          <w:szCs w:val="24"/>
        </w:rPr>
        <w:t>y</w:t>
      </w:r>
      <w:proofErr w:type="gramEnd"/>
      <w:r>
        <w:rPr>
          <w:rFonts w:ascii="Times New Roman" w:hAnsi="Times New Roman" w:cs="Times New Roman"/>
          <w:bCs/>
          <w:sz w:val="24"/>
          <w:szCs w:val="24"/>
        </w:rPr>
        <w:t xml:space="preserve"> por último, los grupos de mujeres con edades de 30, 36, 47, reportaron una vez cada uno. Asimismo, en aproximadamente 10 expedientes no se expone la edad.</w:t>
      </w:r>
    </w:p>
    <w:p w14:paraId="0FF84DC6" w14:textId="77777777" w:rsidR="00254F43" w:rsidRDefault="00D31DDB" w:rsidP="00254F43">
      <w:pPr>
        <w:pStyle w:val="Standard"/>
        <w:spacing w:after="0" w:line="360" w:lineRule="auto"/>
        <w:ind w:firstLine="709"/>
        <w:jc w:val="both"/>
        <w:rPr>
          <w:rFonts w:ascii="Times New Roman" w:hAnsi="Times New Roman" w:cs="Times New Roman"/>
          <w:bCs/>
          <w:sz w:val="24"/>
          <w:szCs w:val="24"/>
        </w:rPr>
        <w:sectPr w:rsidR="00254F43" w:rsidSect="007C0BE3">
          <w:pgSz w:w="12240" w:h="15840"/>
          <w:pgMar w:top="1418" w:right="1418" w:bottom="1418" w:left="1418" w:header="709" w:footer="709" w:gutter="680"/>
          <w:cols w:space="720"/>
        </w:sectPr>
      </w:pPr>
      <w:r>
        <w:rPr>
          <w:rFonts w:ascii="Times New Roman" w:hAnsi="Times New Roman" w:cs="Times New Roman"/>
          <w:bCs/>
          <w:sz w:val="24"/>
          <w:szCs w:val="24"/>
        </w:rPr>
        <w:t xml:space="preserve">Importante es indicar que la edad que se registra en este estudio para los hombres a quienes se reporta como presuntos o agresores en promedio es de 35 años, con 4 reportes en 30 expedientes, pese a encontrarse representación etaria en el resto de </w:t>
      </w:r>
      <w:proofErr w:type="gramStart"/>
      <w:r>
        <w:rPr>
          <w:rFonts w:ascii="Times New Roman" w:hAnsi="Times New Roman" w:cs="Times New Roman"/>
          <w:bCs/>
          <w:sz w:val="24"/>
          <w:szCs w:val="24"/>
        </w:rPr>
        <w:t>edades</w:t>
      </w:r>
      <w:proofErr w:type="gramEnd"/>
      <w:r>
        <w:rPr>
          <w:rFonts w:ascii="Times New Roman" w:hAnsi="Times New Roman" w:cs="Times New Roman"/>
          <w:bCs/>
          <w:sz w:val="24"/>
          <w:szCs w:val="24"/>
        </w:rPr>
        <w:t>, como se muestra en el siguiente gráfico:</w:t>
      </w:r>
    </w:p>
    <w:p w14:paraId="74A1B7FB" w14:textId="49FE67BB" w:rsidR="00CE1426" w:rsidRDefault="00254F43" w:rsidP="009C7BE7">
      <w:pPr>
        <w:pStyle w:val="Descripcin"/>
        <w:spacing w:after="0" w:line="360" w:lineRule="auto"/>
        <w:rPr>
          <w:rFonts w:ascii="Times New Roman" w:hAnsi="Times New Roman" w:cs="Times New Roman"/>
          <w:b/>
          <w:bCs/>
          <w:color w:val="000000" w:themeColor="text1"/>
          <w:sz w:val="24"/>
          <w:szCs w:val="24"/>
        </w:rPr>
      </w:pPr>
      <w:bookmarkStart w:id="339" w:name="_Toc62481523"/>
      <w:r w:rsidRPr="00CE1426">
        <w:rPr>
          <w:rFonts w:ascii="Times New Roman" w:hAnsi="Times New Roman" w:cs="Times New Roman"/>
          <w:b/>
          <w:bCs/>
          <w:i w:val="0"/>
          <w:iCs w:val="0"/>
          <w:color w:val="000000" w:themeColor="text1"/>
          <w:sz w:val="24"/>
          <w:szCs w:val="24"/>
        </w:rPr>
        <w:lastRenderedPageBreak/>
        <w:t xml:space="preserve">Gráfico </w:t>
      </w:r>
      <w:r w:rsidRPr="00CE1426">
        <w:rPr>
          <w:rFonts w:ascii="Times New Roman" w:hAnsi="Times New Roman" w:cs="Times New Roman"/>
          <w:b/>
          <w:bCs/>
          <w:i w:val="0"/>
          <w:iCs w:val="0"/>
          <w:color w:val="000000" w:themeColor="text1"/>
          <w:sz w:val="24"/>
          <w:szCs w:val="24"/>
        </w:rPr>
        <w:fldChar w:fldCharType="begin"/>
      </w:r>
      <w:r w:rsidRPr="00CE1426">
        <w:rPr>
          <w:rFonts w:ascii="Times New Roman" w:hAnsi="Times New Roman" w:cs="Times New Roman"/>
          <w:b/>
          <w:bCs/>
          <w:i w:val="0"/>
          <w:iCs w:val="0"/>
          <w:color w:val="000000" w:themeColor="text1"/>
          <w:sz w:val="24"/>
          <w:szCs w:val="24"/>
        </w:rPr>
        <w:instrText xml:space="preserve"> SEQ Gráfico \* ARABIC </w:instrText>
      </w:r>
      <w:r w:rsidRPr="00CE1426">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3</w:t>
      </w:r>
      <w:r w:rsidRPr="00CE1426">
        <w:rPr>
          <w:rFonts w:ascii="Times New Roman" w:hAnsi="Times New Roman" w:cs="Times New Roman"/>
          <w:b/>
          <w:bCs/>
          <w:i w:val="0"/>
          <w:iCs w:val="0"/>
          <w:color w:val="000000" w:themeColor="text1"/>
          <w:sz w:val="24"/>
          <w:szCs w:val="24"/>
        </w:rPr>
        <w:fldChar w:fldCharType="end"/>
      </w:r>
      <w:r w:rsidRPr="00CE1426">
        <w:rPr>
          <w:rFonts w:ascii="Times New Roman" w:hAnsi="Times New Roman" w:cs="Times New Roman"/>
          <w:b/>
          <w:bCs/>
          <w:i w:val="0"/>
          <w:iCs w:val="0"/>
          <w:color w:val="000000" w:themeColor="text1"/>
          <w:sz w:val="24"/>
          <w:szCs w:val="24"/>
        </w:rPr>
        <w:t>.</w:t>
      </w:r>
      <w:r w:rsidRPr="00254F43">
        <w:rPr>
          <w:rFonts w:ascii="Times New Roman" w:hAnsi="Times New Roman" w:cs="Times New Roman"/>
          <w:b/>
          <w:bCs/>
          <w:color w:val="000000" w:themeColor="text1"/>
          <w:sz w:val="24"/>
          <w:szCs w:val="24"/>
        </w:rPr>
        <w:t xml:space="preserve"> </w:t>
      </w:r>
    </w:p>
    <w:p w14:paraId="645F77ED" w14:textId="62190355" w:rsidR="00E10342" w:rsidRPr="00254F43" w:rsidRDefault="00254F43" w:rsidP="009C7BE7">
      <w:pPr>
        <w:pStyle w:val="Descripcin"/>
        <w:spacing w:after="0" w:line="360" w:lineRule="auto"/>
        <w:rPr>
          <w:rFonts w:ascii="Times New Roman" w:hAnsi="Times New Roman" w:cs="Times New Roman"/>
          <w:b/>
          <w:bCs/>
          <w:color w:val="000000" w:themeColor="text1"/>
          <w:sz w:val="24"/>
          <w:szCs w:val="24"/>
        </w:rPr>
      </w:pPr>
      <w:r w:rsidRPr="00254F43">
        <w:rPr>
          <w:rFonts w:ascii="Times New Roman" w:hAnsi="Times New Roman" w:cs="Times New Roman"/>
          <w:b/>
          <w:bCs/>
          <w:color w:val="000000" w:themeColor="text1"/>
          <w:sz w:val="24"/>
          <w:szCs w:val="24"/>
        </w:rPr>
        <w:t xml:space="preserve">Edades Promedio de los </w:t>
      </w:r>
      <w:r>
        <w:rPr>
          <w:rFonts w:ascii="Times New Roman" w:hAnsi="Times New Roman" w:cs="Times New Roman"/>
          <w:b/>
          <w:bCs/>
          <w:color w:val="000000" w:themeColor="text1"/>
          <w:sz w:val="24"/>
          <w:szCs w:val="24"/>
        </w:rPr>
        <w:t>P</w:t>
      </w:r>
      <w:r w:rsidRPr="00254F43">
        <w:rPr>
          <w:rFonts w:ascii="Times New Roman" w:hAnsi="Times New Roman" w:cs="Times New Roman"/>
          <w:b/>
          <w:bCs/>
          <w:color w:val="000000" w:themeColor="text1"/>
          <w:sz w:val="24"/>
          <w:szCs w:val="24"/>
        </w:rPr>
        <w:t xml:space="preserve">resuntos </w:t>
      </w:r>
      <w:r>
        <w:rPr>
          <w:rFonts w:ascii="Times New Roman" w:hAnsi="Times New Roman" w:cs="Times New Roman"/>
          <w:b/>
          <w:bCs/>
          <w:color w:val="000000" w:themeColor="text1"/>
          <w:sz w:val="24"/>
          <w:szCs w:val="24"/>
        </w:rPr>
        <w:t>A</w:t>
      </w:r>
      <w:r w:rsidRPr="00254F43">
        <w:rPr>
          <w:rFonts w:ascii="Times New Roman" w:hAnsi="Times New Roman" w:cs="Times New Roman"/>
          <w:b/>
          <w:bCs/>
          <w:color w:val="000000" w:themeColor="text1"/>
          <w:sz w:val="24"/>
          <w:szCs w:val="24"/>
        </w:rPr>
        <w:t>gresores</w:t>
      </w:r>
      <w:bookmarkEnd w:id="339"/>
    </w:p>
    <w:p w14:paraId="3D88B329" w14:textId="63902419" w:rsidR="00E10342" w:rsidRDefault="004F20B7" w:rsidP="00254F43">
      <w:pPr>
        <w:pStyle w:val="Standard"/>
        <w:spacing w:after="0" w:line="360" w:lineRule="auto"/>
        <w:jc w:val="both"/>
        <w:rPr>
          <w:rFonts w:ascii="Times New Roman" w:hAnsi="Times New Roman" w:cs="Times New Roman"/>
          <w:bCs/>
          <w:sz w:val="24"/>
          <w:szCs w:val="24"/>
        </w:rPr>
      </w:pPr>
      <w:r w:rsidRPr="00441763">
        <w:rPr>
          <w:rFonts w:ascii="Times New Roman" w:hAnsi="Times New Roman" w:cs="Times New Roman"/>
          <w:bCs/>
          <w:noProof/>
          <w:sz w:val="24"/>
          <w:szCs w:val="24"/>
          <w:lang w:eastAsia="es-CR"/>
        </w:rPr>
        <w:drawing>
          <wp:inline distT="0" distB="0" distL="0" distR="0" wp14:anchorId="2BC5C7D2" wp14:editId="5D8F9CFA">
            <wp:extent cx="5486400" cy="3200400"/>
            <wp:effectExtent l="0" t="0" r="0" b="0"/>
            <wp:docPr id="39" name="Gráfico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04E1398" w14:textId="22AC06F3" w:rsidR="00E10342" w:rsidRDefault="00D31DDB">
      <w:pPr>
        <w:pStyle w:val="Standard"/>
        <w:spacing w:line="240" w:lineRule="auto"/>
        <w:jc w:val="both"/>
      </w:pPr>
      <w:r>
        <w:rPr>
          <w:rFonts w:ascii="Times New Roman" w:hAnsi="Times New Roman" w:cs="Times New Roman"/>
          <w:bCs/>
          <w:sz w:val="24"/>
          <w:szCs w:val="18"/>
        </w:rPr>
        <w:t>Fuente</w:t>
      </w:r>
      <w:r>
        <w:rPr>
          <w:rFonts w:ascii="Times New Roman" w:hAnsi="Times New Roman" w:cs="Times New Roman"/>
          <w:bCs/>
          <w:i/>
          <w:sz w:val="24"/>
          <w:szCs w:val="18"/>
        </w:rPr>
        <w:t>:</w:t>
      </w:r>
      <w:r>
        <w:rPr>
          <w:rFonts w:ascii="Times New Roman" w:hAnsi="Times New Roman" w:cs="Times New Roman"/>
          <w:bCs/>
          <w:sz w:val="24"/>
          <w:szCs w:val="18"/>
        </w:rPr>
        <w:t xml:space="preserve"> elaboración propia (2020)</w:t>
      </w:r>
      <w:r w:rsidR="00254F43">
        <w:rPr>
          <w:rFonts w:ascii="Times New Roman" w:hAnsi="Times New Roman" w:cs="Times New Roman"/>
          <w:bCs/>
          <w:sz w:val="24"/>
          <w:szCs w:val="18"/>
        </w:rPr>
        <w:t>.</w:t>
      </w:r>
    </w:p>
    <w:p w14:paraId="0E52970C" w14:textId="359A5282" w:rsidR="00E10342" w:rsidRDefault="00D31DDB" w:rsidP="00422DE3">
      <w:pPr>
        <w:pStyle w:val="Standard"/>
        <w:spacing w:after="0" w:line="360" w:lineRule="auto"/>
        <w:ind w:firstLine="709"/>
        <w:jc w:val="both"/>
      </w:pPr>
      <w:r>
        <w:rPr>
          <w:rFonts w:ascii="Times New Roman" w:hAnsi="Times New Roman" w:cs="Times New Roman"/>
          <w:bCs/>
          <w:sz w:val="24"/>
          <w:szCs w:val="24"/>
        </w:rPr>
        <w:t>Lo anterior permite observar en los expedientes que, si bien la V. I. puede estar presente en cualquier grupo etario (y, por ende, en el ciclo de la vida de las personas), en el caso de las mujeres lo cierto es que su mayor manifestación se da en momentos en que la mujer es adulta, con edades de 28 y 33 años</w:t>
      </w:r>
    </w:p>
    <w:p w14:paraId="11795F42" w14:textId="488042C4" w:rsidR="00E10342" w:rsidRDefault="00D31DDB" w:rsidP="00422DE3">
      <w:pPr>
        <w:pStyle w:val="Standard"/>
        <w:spacing w:after="0" w:line="360" w:lineRule="auto"/>
        <w:ind w:firstLine="709"/>
        <w:jc w:val="both"/>
      </w:pPr>
      <w:r>
        <w:rPr>
          <w:rFonts w:ascii="Times New Roman" w:hAnsi="Times New Roman" w:cs="Times New Roman"/>
          <w:bCs/>
          <w:sz w:val="24"/>
          <w:szCs w:val="24"/>
        </w:rPr>
        <w:t>Por otra parte, y si bien no es objeto de análisis, es rescatable que la edad en que se reporta mayor incidencia de agresores, en esta muestra, es de 35 años. Coinciden en esto tanto las presuntas víctimas, con 33 años, como los agresores, con 35 años, aunque no necesariamente sean pareja entre sí.</w:t>
      </w:r>
    </w:p>
    <w:p w14:paraId="064403CD" w14:textId="77777777" w:rsidR="00254F43" w:rsidRDefault="00D31DDB" w:rsidP="00422DE3">
      <w:pPr>
        <w:pStyle w:val="Standard"/>
        <w:spacing w:after="0" w:line="360" w:lineRule="auto"/>
        <w:ind w:firstLine="709"/>
        <w:jc w:val="both"/>
        <w:rPr>
          <w:rFonts w:ascii="Times New Roman" w:hAnsi="Times New Roman" w:cs="Times New Roman"/>
          <w:bCs/>
          <w:sz w:val="24"/>
          <w:szCs w:val="24"/>
        </w:rPr>
        <w:sectPr w:rsidR="00254F43" w:rsidSect="007C0BE3">
          <w:pgSz w:w="12240" w:h="15840"/>
          <w:pgMar w:top="1418" w:right="1418" w:bottom="1418" w:left="1418" w:header="709" w:footer="709" w:gutter="680"/>
          <w:cols w:space="720"/>
        </w:sectPr>
      </w:pPr>
      <w:r>
        <w:rPr>
          <w:rFonts w:ascii="Times New Roman" w:hAnsi="Times New Roman" w:cs="Times New Roman"/>
          <w:bCs/>
          <w:sz w:val="24"/>
          <w:szCs w:val="24"/>
        </w:rPr>
        <w:t>Ahora bien, con relación a la actividad económica a la cual se dedican las mujeres, se determina que principalmente se desempeñan en oficios del hogar, según se expone en 16 expedientes de 30, lo cual se evidencia en el siguiente gráfico:</w:t>
      </w:r>
    </w:p>
    <w:p w14:paraId="7DFD756F" w14:textId="04BA9CE6" w:rsidR="00CE1426" w:rsidRPr="00CE1426" w:rsidRDefault="00254F43" w:rsidP="009C7BE7">
      <w:pPr>
        <w:pStyle w:val="Descripcin"/>
        <w:spacing w:after="0" w:line="360" w:lineRule="auto"/>
        <w:jc w:val="both"/>
        <w:rPr>
          <w:rFonts w:ascii="Times New Roman" w:hAnsi="Times New Roman" w:cs="Times New Roman"/>
          <w:b/>
          <w:bCs/>
          <w:i w:val="0"/>
          <w:iCs w:val="0"/>
          <w:color w:val="000000" w:themeColor="text1"/>
          <w:sz w:val="24"/>
          <w:szCs w:val="24"/>
        </w:rPr>
      </w:pPr>
      <w:bookmarkStart w:id="340" w:name="_Toc62481524"/>
      <w:r w:rsidRPr="00CE1426">
        <w:rPr>
          <w:rFonts w:ascii="Times New Roman" w:hAnsi="Times New Roman" w:cs="Times New Roman"/>
          <w:b/>
          <w:bCs/>
          <w:i w:val="0"/>
          <w:iCs w:val="0"/>
          <w:color w:val="000000" w:themeColor="text1"/>
          <w:sz w:val="24"/>
          <w:szCs w:val="24"/>
        </w:rPr>
        <w:lastRenderedPageBreak/>
        <w:t xml:space="preserve">Gráfico </w:t>
      </w:r>
      <w:r w:rsidRPr="00CE1426">
        <w:rPr>
          <w:rFonts w:ascii="Times New Roman" w:hAnsi="Times New Roman" w:cs="Times New Roman"/>
          <w:b/>
          <w:bCs/>
          <w:i w:val="0"/>
          <w:iCs w:val="0"/>
          <w:color w:val="000000" w:themeColor="text1"/>
          <w:sz w:val="24"/>
          <w:szCs w:val="24"/>
        </w:rPr>
        <w:fldChar w:fldCharType="begin"/>
      </w:r>
      <w:r w:rsidRPr="00CE1426">
        <w:rPr>
          <w:rFonts w:ascii="Times New Roman" w:hAnsi="Times New Roman" w:cs="Times New Roman"/>
          <w:b/>
          <w:bCs/>
          <w:i w:val="0"/>
          <w:iCs w:val="0"/>
          <w:color w:val="000000" w:themeColor="text1"/>
          <w:sz w:val="24"/>
          <w:szCs w:val="24"/>
        </w:rPr>
        <w:instrText xml:space="preserve"> SEQ Gráfico \* ARABIC </w:instrText>
      </w:r>
      <w:r w:rsidRPr="00CE1426">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4</w:t>
      </w:r>
      <w:r w:rsidRPr="00CE1426">
        <w:rPr>
          <w:rFonts w:ascii="Times New Roman" w:hAnsi="Times New Roman" w:cs="Times New Roman"/>
          <w:b/>
          <w:bCs/>
          <w:i w:val="0"/>
          <w:iCs w:val="0"/>
          <w:color w:val="000000" w:themeColor="text1"/>
          <w:sz w:val="24"/>
          <w:szCs w:val="24"/>
        </w:rPr>
        <w:fldChar w:fldCharType="end"/>
      </w:r>
      <w:r w:rsidRPr="00CE1426">
        <w:rPr>
          <w:rFonts w:ascii="Times New Roman" w:hAnsi="Times New Roman" w:cs="Times New Roman"/>
          <w:b/>
          <w:bCs/>
          <w:i w:val="0"/>
          <w:iCs w:val="0"/>
          <w:color w:val="000000" w:themeColor="text1"/>
          <w:sz w:val="24"/>
          <w:szCs w:val="24"/>
        </w:rPr>
        <w:t xml:space="preserve">. </w:t>
      </w:r>
    </w:p>
    <w:p w14:paraId="78482DC8" w14:textId="7B1C0BCB" w:rsidR="00E10342" w:rsidRPr="00254F43" w:rsidRDefault="00254F43" w:rsidP="009C7BE7">
      <w:pPr>
        <w:pStyle w:val="Descripcin"/>
        <w:spacing w:after="0" w:line="360" w:lineRule="auto"/>
        <w:jc w:val="both"/>
        <w:rPr>
          <w:rFonts w:ascii="Times New Roman" w:hAnsi="Times New Roman" w:cs="Times New Roman"/>
          <w:b/>
          <w:bCs/>
          <w:color w:val="000000" w:themeColor="text1"/>
          <w:sz w:val="24"/>
          <w:szCs w:val="24"/>
        </w:rPr>
      </w:pPr>
      <w:r w:rsidRPr="00254F43">
        <w:rPr>
          <w:rFonts w:ascii="Times New Roman" w:hAnsi="Times New Roman" w:cs="Times New Roman"/>
          <w:b/>
          <w:bCs/>
          <w:color w:val="000000" w:themeColor="text1"/>
          <w:sz w:val="24"/>
          <w:szCs w:val="24"/>
        </w:rPr>
        <w:t>Actividad Económica de las Mujeres Víctimas de Violencia Intrafamiliar entre los 27 y 35 años, 2018-2019.</w:t>
      </w:r>
      <w:bookmarkEnd w:id="340"/>
    </w:p>
    <w:p w14:paraId="04114473" w14:textId="2F5BE041" w:rsidR="00E10342" w:rsidRDefault="004F20B7" w:rsidP="00254F43">
      <w:pPr>
        <w:pStyle w:val="Standard"/>
        <w:spacing w:after="0" w:line="360" w:lineRule="auto"/>
        <w:jc w:val="both"/>
        <w:rPr>
          <w:rFonts w:ascii="Times New Roman" w:hAnsi="Times New Roman" w:cs="Times New Roman"/>
          <w:bCs/>
          <w:sz w:val="24"/>
          <w:szCs w:val="24"/>
        </w:rPr>
      </w:pPr>
      <w:r w:rsidRPr="00441763">
        <w:rPr>
          <w:rFonts w:ascii="Times New Roman" w:hAnsi="Times New Roman" w:cs="Times New Roman"/>
          <w:bCs/>
          <w:noProof/>
          <w:sz w:val="24"/>
          <w:szCs w:val="24"/>
          <w:lang w:eastAsia="es-CR"/>
        </w:rPr>
        <w:drawing>
          <wp:inline distT="0" distB="0" distL="0" distR="0" wp14:anchorId="5E2E22FC" wp14:editId="36AB05B5">
            <wp:extent cx="5612130" cy="3106839"/>
            <wp:effectExtent l="0" t="0" r="7620" b="17780"/>
            <wp:docPr id="40" name="Gráfico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57BADBF" w14:textId="5601F9AF" w:rsidR="00E10342" w:rsidRDefault="00D31DDB" w:rsidP="009C7BE7">
      <w:pPr>
        <w:pStyle w:val="Standard"/>
        <w:spacing w:after="0" w:line="360" w:lineRule="auto"/>
        <w:jc w:val="both"/>
      </w:pPr>
      <w:r>
        <w:rPr>
          <w:rFonts w:ascii="Times New Roman" w:hAnsi="Times New Roman" w:cs="Times New Roman"/>
          <w:bCs/>
          <w:sz w:val="24"/>
          <w:szCs w:val="24"/>
        </w:rPr>
        <w:t>Fuente: elaboración propia (2020).</w:t>
      </w:r>
    </w:p>
    <w:p w14:paraId="14C5342F" w14:textId="2038DFA2" w:rsidR="00E10342" w:rsidRDefault="00D31DDB" w:rsidP="00422D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 evidente, con los casos estudiados, que la mayoría de las mujeres víctimas de V. I. presentan dependencia económica de sus agresores ante la actividad económica reportada de oficios domésticos con mayor número de ocupaciones, lo que hace posible que se perpetúe la desesperanza aprendida y, con ella, el ciclo de violencia en todas sus manifestaciones, ya que no cuentan con las herramientas ni los recursos económicos idóneos para afrontar por sí mismas el control de sus vidas y de su descendencia, en caso de tenerla.</w:t>
      </w:r>
    </w:p>
    <w:p w14:paraId="4AC19A36" w14:textId="77777777" w:rsidR="00254F43" w:rsidRDefault="00D31DDB" w:rsidP="00422DE3">
      <w:pPr>
        <w:pStyle w:val="Standard"/>
        <w:spacing w:after="0" w:line="360" w:lineRule="auto"/>
        <w:ind w:firstLine="709"/>
        <w:jc w:val="both"/>
        <w:rPr>
          <w:rFonts w:ascii="Times New Roman" w:hAnsi="Times New Roman" w:cs="Times New Roman"/>
          <w:bCs/>
          <w:sz w:val="24"/>
          <w:szCs w:val="24"/>
        </w:rPr>
        <w:sectPr w:rsidR="00254F43" w:rsidSect="007C0BE3">
          <w:pgSz w:w="12240" w:h="15840"/>
          <w:pgMar w:top="1418" w:right="1418" w:bottom="1418" w:left="1418" w:header="709" w:footer="709" w:gutter="680"/>
          <w:cols w:space="720"/>
        </w:sectPr>
      </w:pPr>
      <w:r>
        <w:rPr>
          <w:rFonts w:ascii="Times New Roman" w:hAnsi="Times New Roman" w:cs="Times New Roman"/>
          <w:bCs/>
          <w:sz w:val="24"/>
          <w:szCs w:val="24"/>
        </w:rPr>
        <w:t>En cuanto al estado civil de las mujeres víctimas de violencia intrafamiliar para el período 2018-2019 en 30 expedientes estudiados, se encontró lo siguiente:</w:t>
      </w:r>
    </w:p>
    <w:p w14:paraId="0DFC5093" w14:textId="115BC81B" w:rsidR="00CE1426" w:rsidRPr="00CE1426" w:rsidRDefault="00254F43" w:rsidP="009C7BE7">
      <w:pPr>
        <w:pStyle w:val="Descripcin"/>
        <w:spacing w:after="0" w:line="360" w:lineRule="auto"/>
        <w:jc w:val="both"/>
        <w:rPr>
          <w:rFonts w:ascii="Times New Roman" w:hAnsi="Times New Roman" w:cs="Times New Roman"/>
          <w:b/>
          <w:bCs/>
          <w:i w:val="0"/>
          <w:iCs w:val="0"/>
          <w:color w:val="000000" w:themeColor="text1"/>
          <w:sz w:val="24"/>
          <w:szCs w:val="24"/>
        </w:rPr>
      </w:pPr>
      <w:bookmarkStart w:id="341" w:name="_Toc62481525"/>
      <w:r w:rsidRPr="00CE1426">
        <w:rPr>
          <w:rFonts w:ascii="Times New Roman" w:hAnsi="Times New Roman" w:cs="Times New Roman"/>
          <w:b/>
          <w:bCs/>
          <w:i w:val="0"/>
          <w:iCs w:val="0"/>
          <w:color w:val="000000" w:themeColor="text1"/>
          <w:sz w:val="24"/>
          <w:szCs w:val="24"/>
        </w:rPr>
        <w:lastRenderedPageBreak/>
        <w:t xml:space="preserve">Gráfico </w:t>
      </w:r>
      <w:r w:rsidRPr="00CE1426">
        <w:rPr>
          <w:rFonts w:ascii="Times New Roman" w:hAnsi="Times New Roman" w:cs="Times New Roman"/>
          <w:b/>
          <w:bCs/>
          <w:i w:val="0"/>
          <w:iCs w:val="0"/>
          <w:color w:val="000000" w:themeColor="text1"/>
          <w:sz w:val="24"/>
          <w:szCs w:val="24"/>
        </w:rPr>
        <w:fldChar w:fldCharType="begin"/>
      </w:r>
      <w:r w:rsidRPr="00CE1426">
        <w:rPr>
          <w:rFonts w:ascii="Times New Roman" w:hAnsi="Times New Roman" w:cs="Times New Roman"/>
          <w:b/>
          <w:bCs/>
          <w:i w:val="0"/>
          <w:iCs w:val="0"/>
          <w:color w:val="000000" w:themeColor="text1"/>
          <w:sz w:val="24"/>
          <w:szCs w:val="24"/>
        </w:rPr>
        <w:instrText xml:space="preserve"> SEQ Gráfico \* ARABIC </w:instrText>
      </w:r>
      <w:r w:rsidRPr="00CE1426">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5</w:t>
      </w:r>
      <w:r w:rsidRPr="00CE1426">
        <w:rPr>
          <w:rFonts w:ascii="Times New Roman" w:hAnsi="Times New Roman" w:cs="Times New Roman"/>
          <w:b/>
          <w:bCs/>
          <w:i w:val="0"/>
          <w:iCs w:val="0"/>
          <w:color w:val="000000" w:themeColor="text1"/>
          <w:sz w:val="24"/>
          <w:szCs w:val="24"/>
        </w:rPr>
        <w:fldChar w:fldCharType="end"/>
      </w:r>
      <w:r w:rsidRPr="00CE1426">
        <w:rPr>
          <w:rFonts w:ascii="Times New Roman" w:hAnsi="Times New Roman" w:cs="Times New Roman"/>
          <w:b/>
          <w:bCs/>
          <w:i w:val="0"/>
          <w:iCs w:val="0"/>
          <w:color w:val="000000" w:themeColor="text1"/>
          <w:sz w:val="24"/>
          <w:szCs w:val="24"/>
        </w:rPr>
        <w:t>.</w:t>
      </w:r>
    </w:p>
    <w:p w14:paraId="3F6ADB5F" w14:textId="3294B54E" w:rsidR="00254F43" w:rsidRPr="009C7BE7" w:rsidRDefault="00254F43" w:rsidP="009C7BE7">
      <w:pPr>
        <w:pStyle w:val="Descripcin"/>
        <w:spacing w:after="0" w:line="360" w:lineRule="auto"/>
        <w:jc w:val="both"/>
        <w:rPr>
          <w:rFonts w:ascii="Times New Roman" w:hAnsi="Times New Roman" w:cs="Times New Roman"/>
          <w:b/>
          <w:bCs/>
          <w:color w:val="000000" w:themeColor="text1"/>
          <w:sz w:val="24"/>
          <w:szCs w:val="24"/>
        </w:rPr>
      </w:pPr>
      <w:r w:rsidRPr="009C7BE7">
        <w:rPr>
          <w:rFonts w:ascii="Times New Roman" w:hAnsi="Times New Roman" w:cs="Times New Roman"/>
          <w:b/>
          <w:bCs/>
          <w:color w:val="000000" w:themeColor="text1"/>
          <w:sz w:val="24"/>
          <w:szCs w:val="24"/>
        </w:rPr>
        <w:t xml:space="preserve">Estado Civil de las </w:t>
      </w:r>
      <w:r w:rsidR="009C7BE7">
        <w:rPr>
          <w:rFonts w:ascii="Times New Roman" w:hAnsi="Times New Roman" w:cs="Times New Roman"/>
          <w:b/>
          <w:bCs/>
          <w:color w:val="000000" w:themeColor="text1"/>
          <w:sz w:val="24"/>
          <w:szCs w:val="24"/>
        </w:rPr>
        <w:t>M</w:t>
      </w:r>
      <w:r w:rsidRPr="009C7BE7">
        <w:rPr>
          <w:rFonts w:ascii="Times New Roman" w:hAnsi="Times New Roman" w:cs="Times New Roman"/>
          <w:b/>
          <w:bCs/>
          <w:color w:val="000000" w:themeColor="text1"/>
          <w:sz w:val="24"/>
          <w:szCs w:val="24"/>
        </w:rPr>
        <w:t xml:space="preserve">ujeres </w:t>
      </w:r>
      <w:r w:rsidR="009C7BE7">
        <w:rPr>
          <w:rFonts w:ascii="Times New Roman" w:hAnsi="Times New Roman" w:cs="Times New Roman"/>
          <w:b/>
          <w:bCs/>
          <w:color w:val="000000" w:themeColor="text1"/>
          <w:sz w:val="24"/>
          <w:szCs w:val="24"/>
        </w:rPr>
        <w:t>V</w:t>
      </w:r>
      <w:r w:rsidRPr="009C7BE7">
        <w:rPr>
          <w:rFonts w:ascii="Times New Roman" w:hAnsi="Times New Roman" w:cs="Times New Roman"/>
          <w:b/>
          <w:bCs/>
          <w:color w:val="000000" w:themeColor="text1"/>
          <w:sz w:val="24"/>
          <w:szCs w:val="24"/>
        </w:rPr>
        <w:t xml:space="preserve">íctimas de </w:t>
      </w:r>
      <w:r w:rsidR="009C7BE7">
        <w:rPr>
          <w:rFonts w:ascii="Times New Roman" w:hAnsi="Times New Roman" w:cs="Times New Roman"/>
          <w:b/>
          <w:bCs/>
          <w:color w:val="000000" w:themeColor="text1"/>
          <w:sz w:val="24"/>
          <w:szCs w:val="24"/>
        </w:rPr>
        <w:t>V</w:t>
      </w:r>
      <w:r w:rsidRPr="009C7BE7">
        <w:rPr>
          <w:rFonts w:ascii="Times New Roman" w:hAnsi="Times New Roman" w:cs="Times New Roman"/>
          <w:b/>
          <w:bCs/>
          <w:color w:val="000000" w:themeColor="text1"/>
          <w:sz w:val="24"/>
          <w:szCs w:val="24"/>
        </w:rPr>
        <w:t>iolencia Intrafamiliar para el</w:t>
      </w:r>
      <w:r w:rsidR="009C7BE7">
        <w:rPr>
          <w:rFonts w:ascii="Times New Roman" w:hAnsi="Times New Roman" w:cs="Times New Roman"/>
          <w:b/>
          <w:bCs/>
          <w:color w:val="000000" w:themeColor="text1"/>
          <w:sz w:val="24"/>
          <w:szCs w:val="24"/>
        </w:rPr>
        <w:t xml:space="preserve"> P</w:t>
      </w:r>
      <w:r w:rsidRPr="009C7BE7">
        <w:rPr>
          <w:rFonts w:ascii="Times New Roman" w:hAnsi="Times New Roman" w:cs="Times New Roman"/>
          <w:b/>
          <w:bCs/>
          <w:color w:val="000000" w:themeColor="text1"/>
          <w:sz w:val="24"/>
          <w:szCs w:val="24"/>
        </w:rPr>
        <w:t>eríodo del 2018-2019.</w:t>
      </w:r>
      <w:bookmarkEnd w:id="341"/>
    </w:p>
    <w:p w14:paraId="11711043" w14:textId="0E5B7203" w:rsidR="00E10342" w:rsidRDefault="004F20B7" w:rsidP="009C7BE7">
      <w:pPr>
        <w:pStyle w:val="Standard"/>
        <w:spacing w:after="0" w:line="360" w:lineRule="auto"/>
        <w:jc w:val="center"/>
        <w:rPr>
          <w:rFonts w:ascii="Times New Roman" w:hAnsi="Times New Roman" w:cs="Times New Roman"/>
          <w:bCs/>
          <w:sz w:val="24"/>
          <w:szCs w:val="24"/>
        </w:rPr>
      </w:pPr>
      <w:r w:rsidRPr="00441763">
        <w:rPr>
          <w:rFonts w:ascii="Times New Roman" w:hAnsi="Times New Roman" w:cs="Times New Roman"/>
          <w:bCs/>
          <w:noProof/>
          <w:sz w:val="24"/>
          <w:szCs w:val="24"/>
          <w:lang w:eastAsia="es-CR"/>
        </w:rPr>
        <w:drawing>
          <wp:inline distT="0" distB="0" distL="0" distR="0" wp14:anchorId="38A35D28" wp14:editId="1D52B42B">
            <wp:extent cx="4104005" cy="2388870"/>
            <wp:effectExtent l="0" t="0" r="10160" b="15875"/>
            <wp:docPr id="41" name="Gráfico 41" descr="Estado Civil&#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989856D" w14:textId="738C26B5" w:rsidR="00E10342" w:rsidRDefault="00D31DDB" w:rsidP="009C7BE7">
      <w:pPr>
        <w:pStyle w:val="Standard"/>
        <w:spacing w:after="0" w:line="360" w:lineRule="auto"/>
        <w:ind w:left="708" w:firstLine="1"/>
        <w:jc w:val="both"/>
      </w:pPr>
      <w:r>
        <w:rPr>
          <w:rFonts w:ascii="Times New Roman" w:hAnsi="Times New Roman" w:cs="Times New Roman"/>
          <w:bCs/>
          <w:sz w:val="24"/>
          <w:szCs w:val="24"/>
        </w:rPr>
        <w:t>Fuente: elaboración propia (2020).</w:t>
      </w:r>
    </w:p>
    <w:p w14:paraId="6BD06B14" w14:textId="45911B41" w:rsidR="00E10342" w:rsidRDefault="00D31DDB" w:rsidP="00422DE3">
      <w:pPr>
        <w:pStyle w:val="Standard"/>
        <w:spacing w:after="0" w:line="360" w:lineRule="auto"/>
        <w:ind w:firstLine="709"/>
        <w:jc w:val="both"/>
      </w:pPr>
      <w:r>
        <w:rPr>
          <w:rFonts w:ascii="Times New Roman" w:hAnsi="Times New Roman" w:cs="Times New Roman"/>
          <w:bCs/>
          <w:sz w:val="24"/>
          <w:szCs w:val="24"/>
        </w:rPr>
        <w:t>Este hallazgo representa que la mayoría de las mujeres de la muestra ostentan el estado civil de solteras, pero estableciendo uniones de hecho con sus parejas de manera estable y procreado hijos e hijas en común, generalmente 2 en promedio con una marcada dependencia económica por dedicarse a los oficios del hogar y el cuido de la descendencia. Aun así, también hay trabajadoras fuera del hogar y con profesión u oficio remunerado.</w:t>
      </w:r>
    </w:p>
    <w:p w14:paraId="35A8DF38" w14:textId="4CB3CAB4" w:rsidR="00E10342" w:rsidRDefault="00D31DDB" w:rsidP="00422D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La nacionalidad y los grupos vulnerables en los 30 expedientes se muestran en el siguiente gráfico:</w:t>
      </w:r>
    </w:p>
    <w:p w14:paraId="464FC492" w14:textId="77777777" w:rsidR="009C7BE7" w:rsidRDefault="009C7BE7" w:rsidP="00422DE3">
      <w:pPr>
        <w:pStyle w:val="Standard"/>
        <w:spacing w:after="0" w:line="360" w:lineRule="auto"/>
        <w:ind w:firstLine="709"/>
        <w:jc w:val="both"/>
        <w:rPr>
          <w:rFonts w:ascii="Times New Roman" w:hAnsi="Times New Roman" w:cs="Times New Roman"/>
          <w:bCs/>
          <w:sz w:val="24"/>
          <w:szCs w:val="24"/>
        </w:rPr>
        <w:sectPr w:rsidR="009C7BE7" w:rsidSect="007C0BE3">
          <w:pgSz w:w="12240" w:h="15840"/>
          <w:pgMar w:top="1418" w:right="1418" w:bottom="1418" w:left="1418" w:header="709" w:footer="709" w:gutter="680"/>
          <w:cols w:space="720"/>
        </w:sectPr>
      </w:pPr>
    </w:p>
    <w:p w14:paraId="0FCC9456" w14:textId="4A71C62F" w:rsidR="00CE1426" w:rsidRPr="00CE1426" w:rsidRDefault="009C7BE7" w:rsidP="009C7BE7">
      <w:pPr>
        <w:pStyle w:val="Descripcin"/>
        <w:spacing w:after="0" w:line="360" w:lineRule="auto"/>
        <w:rPr>
          <w:rFonts w:ascii="Times New Roman" w:hAnsi="Times New Roman" w:cs="Times New Roman"/>
          <w:b/>
          <w:bCs/>
          <w:i w:val="0"/>
          <w:iCs w:val="0"/>
          <w:color w:val="000000" w:themeColor="text1"/>
          <w:sz w:val="24"/>
          <w:szCs w:val="24"/>
        </w:rPr>
      </w:pPr>
      <w:bookmarkStart w:id="342" w:name="_Toc62481526"/>
      <w:r w:rsidRPr="00CE1426">
        <w:rPr>
          <w:rFonts w:ascii="Times New Roman" w:hAnsi="Times New Roman" w:cs="Times New Roman"/>
          <w:b/>
          <w:bCs/>
          <w:i w:val="0"/>
          <w:iCs w:val="0"/>
          <w:color w:val="000000" w:themeColor="text1"/>
          <w:sz w:val="24"/>
          <w:szCs w:val="24"/>
        </w:rPr>
        <w:lastRenderedPageBreak/>
        <w:t xml:space="preserve">Gráfico </w:t>
      </w:r>
      <w:r w:rsidRPr="00CE1426">
        <w:rPr>
          <w:rFonts w:ascii="Times New Roman" w:hAnsi="Times New Roman" w:cs="Times New Roman"/>
          <w:b/>
          <w:bCs/>
          <w:i w:val="0"/>
          <w:iCs w:val="0"/>
          <w:color w:val="000000" w:themeColor="text1"/>
          <w:sz w:val="24"/>
          <w:szCs w:val="24"/>
        </w:rPr>
        <w:fldChar w:fldCharType="begin"/>
      </w:r>
      <w:r w:rsidRPr="00CE1426">
        <w:rPr>
          <w:rFonts w:ascii="Times New Roman" w:hAnsi="Times New Roman" w:cs="Times New Roman"/>
          <w:b/>
          <w:bCs/>
          <w:i w:val="0"/>
          <w:iCs w:val="0"/>
          <w:color w:val="000000" w:themeColor="text1"/>
          <w:sz w:val="24"/>
          <w:szCs w:val="24"/>
        </w:rPr>
        <w:instrText xml:space="preserve"> SEQ Gráfico \* ARABIC </w:instrText>
      </w:r>
      <w:r w:rsidRPr="00CE1426">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6</w:t>
      </w:r>
      <w:r w:rsidRPr="00CE1426">
        <w:rPr>
          <w:rFonts w:ascii="Times New Roman" w:hAnsi="Times New Roman" w:cs="Times New Roman"/>
          <w:b/>
          <w:bCs/>
          <w:i w:val="0"/>
          <w:iCs w:val="0"/>
          <w:color w:val="000000" w:themeColor="text1"/>
          <w:sz w:val="24"/>
          <w:szCs w:val="24"/>
        </w:rPr>
        <w:fldChar w:fldCharType="end"/>
      </w:r>
      <w:r w:rsidRPr="00CE1426">
        <w:rPr>
          <w:rFonts w:ascii="Times New Roman" w:hAnsi="Times New Roman" w:cs="Times New Roman"/>
          <w:b/>
          <w:bCs/>
          <w:i w:val="0"/>
          <w:iCs w:val="0"/>
          <w:color w:val="000000" w:themeColor="text1"/>
          <w:sz w:val="24"/>
          <w:szCs w:val="24"/>
        </w:rPr>
        <w:t xml:space="preserve">. </w:t>
      </w:r>
    </w:p>
    <w:p w14:paraId="28743575" w14:textId="23ABC5B6" w:rsidR="009C7BE7" w:rsidRPr="00CE1426" w:rsidRDefault="009C7BE7" w:rsidP="009C7BE7">
      <w:pPr>
        <w:pStyle w:val="Descripcin"/>
        <w:spacing w:after="0" w:line="360" w:lineRule="auto"/>
        <w:rPr>
          <w:rFonts w:ascii="Times New Roman" w:hAnsi="Times New Roman" w:cs="Times New Roman"/>
          <w:b/>
          <w:bCs/>
          <w:color w:val="000000" w:themeColor="text1"/>
          <w:sz w:val="24"/>
          <w:szCs w:val="24"/>
        </w:rPr>
      </w:pPr>
      <w:r w:rsidRPr="00CE1426">
        <w:rPr>
          <w:rFonts w:ascii="Times New Roman" w:hAnsi="Times New Roman" w:cs="Times New Roman"/>
          <w:b/>
          <w:bCs/>
          <w:color w:val="000000" w:themeColor="text1"/>
          <w:sz w:val="24"/>
          <w:szCs w:val="24"/>
        </w:rPr>
        <w:t>Nacionalidad de las Mujeres Víctimas de Violencia Intrafamiliar.</w:t>
      </w:r>
      <w:bookmarkEnd w:id="342"/>
    </w:p>
    <w:p w14:paraId="2A88320D" w14:textId="54E7E1A1" w:rsidR="00E10342" w:rsidRDefault="004F20B7">
      <w:pPr>
        <w:pStyle w:val="Standard"/>
        <w:spacing w:line="360" w:lineRule="auto"/>
        <w:jc w:val="both"/>
        <w:rPr>
          <w:rFonts w:ascii="Times New Roman" w:hAnsi="Times New Roman" w:cs="Times New Roman"/>
          <w:bCs/>
          <w:sz w:val="24"/>
          <w:szCs w:val="24"/>
        </w:rPr>
      </w:pPr>
      <w:r w:rsidRPr="00441763">
        <w:rPr>
          <w:rFonts w:ascii="Times New Roman" w:hAnsi="Times New Roman" w:cs="Times New Roman"/>
          <w:bCs/>
          <w:noProof/>
          <w:sz w:val="24"/>
          <w:szCs w:val="24"/>
          <w:lang w:eastAsia="es-CR"/>
        </w:rPr>
        <w:drawing>
          <wp:inline distT="0" distB="0" distL="0" distR="0" wp14:anchorId="3C3B9F94" wp14:editId="5665CB47">
            <wp:extent cx="5114260" cy="2530549"/>
            <wp:effectExtent l="0" t="0" r="10795" b="3175"/>
            <wp:docPr id="42" name="Gráfico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5F4D3DF" w14:textId="20373E97" w:rsidR="00E10342" w:rsidRDefault="00D31DDB">
      <w:pPr>
        <w:pStyle w:val="Standard"/>
        <w:spacing w:line="240" w:lineRule="auto"/>
        <w:jc w:val="both"/>
      </w:pPr>
      <w:r>
        <w:rPr>
          <w:rFonts w:ascii="Times New Roman" w:hAnsi="Times New Roman" w:cs="Times New Roman"/>
          <w:bCs/>
          <w:i/>
          <w:iCs/>
          <w:sz w:val="24"/>
          <w:szCs w:val="24"/>
        </w:rPr>
        <w:t>Gráfico</w:t>
      </w:r>
      <w:r w:rsidR="00574818">
        <w:rPr>
          <w:rFonts w:ascii="Times New Roman" w:hAnsi="Times New Roman" w:cs="Times New Roman"/>
          <w:bCs/>
          <w:i/>
          <w:iCs/>
          <w:sz w:val="24"/>
          <w:szCs w:val="24"/>
        </w:rPr>
        <w:t xml:space="preserve"> </w:t>
      </w:r>
      <w:proofErr w:type="spellStart"/>
      <w:r w:rsidR="00574818">
        <w:rPr>
          <w:rFonts w:ascii="Times New Roman" w:hAnsi="Times New Roman" w:cs="Times New Roman"/>
          <w:bCs/>
          <w:i/>
          <w:iCs/>
          <w:sz w:val="24"/>
          <w:szCs w:val="24"/>
        </w:rPr>
        <w:t>N°</w:t>
      </w:r>
      <w:proofErr w:type="spellEnd"/>
      <w:r w:rsidR="00574818">
        <w:rPr>
          <w:rFonts w:ascii="Times New Roman" w:hAnsi="Times New Roman" w:cs="Times New Roman"/>
          <w:bCs/>
          <w:i/>
          <w:iCs/>
          <w:sz w:val="24"/>
          <w:szCs w:val="24"/>
        </w:rPr>
        <w:t xml:space="preserve"> </w:t>
      </w:r>
      <w:r>
        <w:rPr>
          <w:rFonts w:ascii="Times New Roman" w:hAnsi="Times New Roman" w:cs="Times New Roman"/>
          <w:bCs/>
          <w:i/>
          <w:iCs/>
          <w:sz w:val="24"/>
          <w:szCs w:val="24"/>
        </w:rPr>
        <w:t xml:space="preserve">6: </w:t>
      </w:r>
      <w:r>
        <w:rPr>
          <w:rFonts w:ascii="Times New Roman" w:hAnsi="Times New Roman" w:cs="Times New Roman"/>
          <w:bCs/>
          <w:iCs/>
          <w:sz w:val="24"/>
          <w:szCs w:val="24"/>
        </w:rPr>
        <w:t>Nacionalidad de las mujeres víctimas de Violencia Intrafamiliar</w:t>
      </w:r>
      <w:r>
        <w:rPr>
          <w:rFonts w:ascii="Times New Roman" w:hAnsi="Times New Roman" w:cs="Times New Roman"/>
          <w:bCs/>
          <w:i/>
          <w:iCs/>
          <w:sz w:val="24"/>
          <w:szCs w:val="24"/>
        </w:rPr>
        <w:t xml:space="preserve">. </w:t>
      </w:r>
      <w:r>
        <w:rPr>
          <w:rFonts w:ascii="Times New Roman" w:hAnsi="Times New Roman" w:cs="Times New Roman"/>
          <w:bCs/>
          <w:iCs/>
          <w:sz w:val="24"/>
          <w:szCs w:val="24"/>
        </w:rPr>
        <w:t>Fuente:</w:t>
      </w:r>
      <w:r>
        <w:rPr>
          <w:rFonts w:ascii="Times New Roman" w:hAnsi="Times New Roman" w:cs="Times New Roman"/>
          <w:bCs/>
          <w:i/>
          <w:iCs/>
          <w:sz w:val="24"/>
          <w:szCs w:val="24"/>
        </w:rPr>
        <w:t xml:space="preserve"> </w:t>
      </w:r>
      <w:r>
        <w:rPr>
          <w:rFonts w:ascii="Times New Roman" w:hAnsi="Times New Roman" w:cs="Times New Roman"/>
          <w:bCs/>
          <w:iCs/>
          <w:sz w:val="24"/>
          <w:szCs w:val="24"/>
        </w:rPr>
        <w:t>elaboración propia (2020).</w:t>
      </w:r>
    </w:p>
    <w:p w14:paraId="5C70DFDC" w14:textId="77777777" w:rsidR="00E10342" w:rsidRDefault="00D31DDB" w:rsidP="00422DE3">
      <w:pPr>
        <w:pStyle w:val="Standard"/>
        <w:spacing w:after="0" w:line="360" w:lineRule="auto"/>
        <w:ind w:firstLine="709"/>
        <w:jc w:val="both"/>
      </w:pPr>
      <w:r>
        <w:rPr>
          <w:rFonts w:ascii="Times New Roman" w:hAnsi="Times New Roman" w:cs="Times New Roman"/>
          <w:bCs/>
          <w:sz w:val="24"/>
          <w:szCs w:val="24"/>
        </w:rPr>
        <w:t>Con el resultado obtenido, queda en evidencia que la mayoría de las víctimas de V. I. resultan ser mujeres costarricenses y no migrantes, o personas pertenecientes a otros grupos también vulnerables, contrario a lo que socialmente se considera: que las mujeres mayormente agredidas son extranjeras</w:t>
      </w:r>
      <w:r>
        <w:rPr>
          <w:rFonts w:ascii="Times New Roman" w:hAnsi="Times New Roman" w:cs="Times New Roman"/>
          <w:b/>
          <w:bCs/>
          <w:sz w:val="24"/>
          <w:szCs w:val="24"/>
        </w:rPr>
        <w:t>.</w:t>
      </w:r>
    </w:p>
    <w:p w14:paraId="78D93994" w14:textId="77777777" w:rsidR="00422DE3" w:rsidRDefault="00D31DDB" w:rsidP="00422DE3">
      <w:pPr>
        <w:pStyle w:val="Standard"/>
        <w:spacing w:after="0" w:line="360" w:lineRule="auto"/>
        <w:ind w:firstLine="709"/>
        <w:jc w:val="both"/>
        <w:rPr>
          <w:rFonts w:ascii="Times New Roman" w:hAnsi="Times New Roman" w:cs="Times New Roman"/>
          <w:bCs/>
          <w:i/>
          <w:sz w:val="24"/>
          <w:szCs w:val="24"/>
        </w:rPr>
      </w:pPr>
      <w:r>
        <w:rPr>
          <w:rFonts w:ascii="Times New Roman" w:hAnsi="Times New Roman" w:cs="Times New Roman"/>
          <w:bCs/>
          <w:sz w:val="24"/>
          <w:szCs w:val="24"/>
        </w:rPr>
        <w:t>Respecto al número de hijos reportados por solicitante, este se manifiesta en el siguiente cuadro:</w:t>
      </w:r>
      <w:r w:rsidR="00422DE3" w:rsidRPr="00422DE3">
        <w:rPr>
          <w:rFonts w:ascii="Times New Roman" w:hAnsi="Times New Roman" w:cs="Times New Roman"/>
          <w:bCs/>
          <w:i/>
          <w:sz w:val="24"/>
          <w:szCs w:val="24"/>
        </w:rPr>
        <w:t xml:space="preserve"> </w:t>
      </w:r>
    </w:p>
    <w:p w14:paraId="0BBE94DC" w14:textId="688BBB8F" w:rsidR="000424F2" w:rsidRDefault="008627AC" w:rsidP="000424F2">
      <w:pPr>
        <w:pStyle w:val="Descripcin"/>
        <w:spacing w:after="0" w:line="360" w:lineRule="auto"/>
        <w:rPr>
          <w:rFonts w:ascii="Times New Roman" w:hAnsi="Times New Roman" w:cs="Times New Roman"/>
          <w:b/>
          <w:bCs/>
          <w:i w:val="0"/>
          <w:iCs w:val="0"/>
          <w:color w:val="000000" w:themeColor="text1"/>
          <w:sz w:val="24"/>
          <w:szCs w:val="24"/>
        </w:rPr>
      </w:pPr>
      <w:bookmarkStart w:id="343" w:name="_Toc62484983"/>
      <w:r w:rsidRPr="008627AC">
        <w:rPr>
          <w:rFonts w:ascii="Times New Roman" w:hAnsi="Times New Roman" w:cs="Times New Roman"/>
          <w:b/>
          <w:bCs/>
          <w:i w:val="0"/>
          <w:iCs w:val="0"/>
          <w:color w:val="000000" w:themeColor="text1"/>
          <w:sz w:val="24"/>
          <w:szCs w:val="24"/>
        </w:rPr>
        <w:t xml:space="preserve">Cuadro </w:t>
      </w:r>
      <w:r w:rsidRPr="008627AC">
        <w:rPr>
          <w:rFonts w:ascii="Times New Roman" w:hAnsi="Times New Roman" w:cs="Times New Roman"/>
          <w:b/>
          <w:bCs/>
          <w:i w:val="0"/>
          <w:iCs w:val="0"/>
          <w:color w:val="000000" w:themeColor="text1"/>
          <w:sz w:val="24"/>
          <w:szCs w:val="24"/>
        </w:rPr>
        <w:fldChar w:fldCharType="begin"/>
      </w:r>
      <w:r w:rsidRPr="008627AC">
        <w:rPr>
          <w:rFonts w:ascii="Times New Roman" w:hAnsi="Times New Roman" w:cs="Times New Roman"/>
          <w:b/>
          <w:bCs/>
          <w:i w:val="0"/>
          <w:iCs w:val="0"/>
          <w:color w:val="000000" w:themeColor="text1"/>
          <w:sz w:val="24"/>
          <w:szCs w:val="24"/>
        </w:rPr>
        <w:instrText xml:space="preserve"> SEQ Cuadro \* ARABIC </w:instrText>
      </w:r>
      <w:r w:rsidRPr="008627AC">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1</w:t>
      </w:r>
      <w:r w:rsidRPr="008627AC">
        <w:rPr>
          <w:rFonts w:ascii="Times New Roman" w:hAnsi="Times New Roman" w:cs="Times New Roman"/>
          <w:b/>
          <w:bCs/>
          <w:i w:val="0"/>
          <w:iCs w:val="0"/>
          <w:color w:val="000000" w:themeColor="text1"/>
          <w:sz w:val="24"/>
          <w:szCs w:val="24"/>
        </w:rPr>
        <w:fldChar w:fldCharType="end"/>
      </w:r>
      <w:r w:rsidRPr="008627AC">
        <w:rPr>
          <w:rFonts w:ascii="Times New Roman" w:hAnsi="Times New Roman" w:cs="Times New Roman"/>
          <w:b/>
          <w:bCs/>
          <w:i w:val="0"/>
          <w:iCs w:val="0"/>
          <w:color w:val="000000" w:themeColor="text1"/>
          <w:sz w:val="24"/>
          <w:szCs w:val="24"/>
        </w:rPr>
        <w:t xml:space="preserve">. </w:t>
      </w:r>
    </w:p>
    <w:p w14:paraId="7148F08E" w14:textId="01288D3A" w:rsidR="00E10342" w:rsidRPr="008627AC" w:rsidRDefault="008627AC" w:rsidP="000424F2">
      <w:pPr>
        <w:pStyle w:val="Descripcin"/>
        <w:spacing w:after="0" w:line="360" w:lineRule="auto"/>
        <w:rPr>
          <w:rFonts w:ascii="Times New Roman" w:hAnsi="Times New Roman" w:cs="Times New Roman"/>
          <w:b/>
          <w:bCs/>
          <w:color w:val="000000" w:themeColor="text1"/>
          <w:sz w:val="24"/>
          <w:szCs w:val="24"/>
        </w:rPr>
      </w:pPr>
      <w:r w:rsidRPr="008627AC">
        <w:rPr>
          <w:rFonts w:ascii="Times New Roman" w:hAnsi="Times New Roman" w:cs="Times New Roman"/>
          <w:b/>
          <w:bCs/>
          <w:color w:val="000000" w:themeColor="text1"/>
          <w:sz w:val="24"/>
          <w:szCs w:val="24"/>
        </w:rPr>
        <w:t xml:space="preserve">Respecto al </w:t>
      </w:r>
      <w:r>
        <w:rPr>
          <w:rFonts w:ascii="Times New Roman" w:hAnsi="Times New Roman" w:cs="Times New Roman"/>
          <w:b/>
          <w:bCs/>
          <w:color w:val="000000" w:themeColor="text1"/>
          <w:sz w:val="24"/>
          <w:szCs w:val="24"/>
        </w:rPr>
        <w:t>N</w:t>
      </w:r>
      <w:r w:rsidRPr="008627AC">
        <w:rPr>
          <w:rFonts w:ascii="Times New Roman" w:hAnsi="Times New Roman" w:cs="Times New Roman"/>
          <w:b/>
          <w:bCs/>
          <w:color w:val="000000" w:themeColor="text1"/>
          <w:sz w:val="24"/>
          <w:szCs w:val="24"/>
        </w:rPr>
        <w:t xml:space="preserve">úmero de </w:t>
      </w:r>
      <w:r w:rsidR="000424F2">
        <w:rPr>
          <w:rFonts w:ascii="Times New Roman" w:hAnsi="Times New Roman" w:cs="Times New Roman"/>
          <w:b/>
          <w:bCs/>
          <w:color w:val="000000" w:themeColor="text1"/>
          <w:sz w:val="24"/>
          <w:szCs w:val="24"/>
        </w:rPr>
        <w:t>H</w:t>
      </w:r>
      <w:r w:rsidRPr="008627AC">
        <w:rPr>
          <w:rFonts w:ascii="Times New Roman" w:hAnsi="Times New Roman" w:cs="Times New Roman"/>
          <w:b/>
          <w:bCs/>
          <w:color w:val="000000" w:themeColor="text1"/>
          <w:sz w:val="24"/>
          <w:szCs w:val="24"/>
        </w:rPr>
        <w:t xml:space="preserve">ijos </w:t>
      </w:r>
      <w:r w:rsidR="000424F2">
        <w:rPr>
          <w:rFonts w:ascii="Times New Roman" w:hAnsi="Times New Roman" w:cs="Times New Roman"/>
          <w:b/>
          <w:bCs/>
          <w:color w:val="000000" w:themeColor="text1"/>
          <w:sz w:val="24"/>
          <w:szCs w:val="24"/>
        </w:rPr>
        <w:t>R</w:t>
      </w:r>
      <w:r w:rsidRPr="008627AC">
        <w:rPr>
          <w:rFonts w:ascii="Times New Roman" w:hAnsi="Times New Roman" w:cs="Times New Roman"/>
          <w:b/>
          <w:bCs/>
          <w:color w:val="000000" w:themeColor="text1"/>
          <w:sz w:val="24"/>
          <w:szCs w:val="24"/>
        </w:rPr>
        <w:t xml:space="preserve">eportados por </w:t>
      </w:r>
      <w:r w:rsidR="000424F2">
        <w:rPr>
          <w:rFonts w:ascii="Times New Roman" w:hAnsi="Times New Roman" w:cs="Times New Roman"/>
          <w:b/>
          <w:bCs/>
          <w:color w:val="000000" w:themeColor="text1"/>
          <w:sz w:val="24"/>
          <w:szCs w:val="24"/>
        </w:rPr>
        <w:t>S</w:t>
      </w:r>
      <w:r w:rsidRPr="008627AC">
        <w:rPr>
          <w:rFonts w:ascii="Times New Roman" w:hAnsi="Times New Roman" w:cs="Times New Roman"/>
          <w:b/>
          <w:bCs/>
          <w:color w:val="000000" w:themeColor="text1"/>
          <w:sz w:val="24"/>
          <w:szCs w:val="24"/>
        </w:rPr>
        <w:t>olicitante.</w:t>
      </w:r>
      <w:bookmarkEnd w:id="343"/>
    </w:p>
    <w:tbl>
      <w:tblPr>
        <w:tblW w:w="7748" w:type="dxa"/>
        <w:tblInd w:w="972" w:type="dxa"/>
        <w:tblLayout w:type="fixed"/>
        <w:tblCellMar>
          <w:left w:w="10" w:type="dxa"/>
          <w:right w:w="10" w:type="dxa"/>
        </w:tblCellMar>
        <w:tblLook w:val="04A0" w:firstRow="1" w:lastRow="0" w:firstColumn="1" w:lastColumn="0" w:noHBand="0" w:noVBand="1"/>
      </w:tblPr>
      <w:tblGrid>
        <w:gridCol w:w="3864"/>
        <w:gridCol w:w="3884"/>
      </w:tblGrid>
      <w:tr w:rsidR="00E10342" w14:paraId="3B25D682" w14:textId="77777777">
        <w:tc>
          <w:tcPr>
            <w:tcW w:w="386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6417E89" w14:textId="77777777" w:rsidR="00E10342" w:rsidRDefault="00D31DDB">
            <w:pPr>
              <w:pStyle w:val="Standard"/>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Cantidad de Hijos o Hijas</w:t>
            </w:r>
          </w:p>
        </w:tc>
        <w:tc>
          <w:tcPr>
            <w:tcW w:w="38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9A0067D" w14:textId="77777777" w:rsidR="00E10342" w:rsidRDefault="00D31DDB">
            <w:pPr>
              <w:pStyle w:val="Standard"/>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Reportaron</w:t>
            </w:r>
          </w:p>
        </w:tc>
      </w:tr>
      <w:tr w:rsidR="00E10342" w14:paraId="3BD08FF6" w14:textId="77777777">
        <w:tc>
          <w:tcPr>
            <w:tcW w:w="386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5A2FEB0" w14:textId="77777777" w:rsidR="00E10342" w:rsidRDefault="00D31DDB">
            <w:pPr>
              <w:pStyle w:val="Standar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 hijo o hija</w:t>
            </w:r>
          </w:p>
        </w:tc>
        <w:tc>
          <w:tcPr>
            <w:tcW w:w="38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9116806" w14:textId="77777777" w:rsidR="00E10342" w:rsidRDefault="00D31DDB">
            <w:pPr>
              <w:pStyle w:val="Standar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8 mujeres</w:t>
            </w:r>
          </w:p>
        </w:tc>
      </w:tr>
      <w:tr w:rsidR="00E10342" w14:paraId="213C0131" w14:textId="77777777">
        <w:tc>
          <w:tcPr>
            <w:tcW w:w="386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B2FABC8" w14:textId="77777777" w:rsidR="00E10342" w:rsidRDefault="00D31DDB">
            <w:pPr>
              <w:pStyle w:val="Standar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 hijos o hijas</w:t>
            </w:r>
          </w:p>
        </w:tc>
        <w:tc>
          <w:tcPr>
            <w:tcW w:w="38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EDDE235" w14:textId="77777777" w:rsidR="00E10342" w:rsidRDefault="00D31DDB">
            <w:pPr>
              <w:pStyle w:val="Standar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12 mujeres</w:t>
            </w:r>
          </w:p>
        </w:tc>
      </w:tr>
      <w:tr w:rsidR="00E10342" w14:paraId="6B71C4E3" w14:textId="77777777">
        <w:tc>
          <w:tcPr>
            <w:tcW w:w="386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6068B0C" w14:textId="77777777" w:rsidR="00E10342" w:rsidRDefault="00D31DDB">
            <w:pPr>
              <w:pStyle w:val="Standar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 hijos o hijas</w:t>
            </w:r>
          </w:p>
        </w:tc>
        <w:tc>
          <w:tcPr>
            <w:tcW w:w="38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4110176" w14:textId="77777777" w:rsidR="00E10342" w:rsidRDefault="00D31DDB">
            <w:pPr>
              <w:pStyle w:val="Standar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4 mujeres</w:t>
            </w:r>
          </w:p>
        </w:tc>
      </w:tr>
      <w:tr w:rsidR="00E10342" w14:paraId="1679E754" w14:textId="77777777">
        <w:tc>
          <w:tcPr>
            <w:tcW w:w="386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69B1B13" w14:textId="77777777" w:rsidR="00E10342" w:rsidRDefault="00D31DDB">
            <w:pPr>
              <w:pStyle w:val="Standar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Embarazo</w:t>
            </w:r>
          </w:p>
        </w:tc>
        <w:tc>
          <w:tcPr>
            <w:tcW w:w="38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76A5CE1" w14:textId="77777777" w:rsidR="00E10342" w:rsidRDefault="00D31DDB">
            <w:pPr>
              <w:pStyle w:val="Standar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 mujer</w:t>
            </w:r>
          </w:p>
        </w:tc>
      </w:tr>
    </w:tbl>
    <w:p w14:paraId="5DAC2ED9" w14:textId="2A915CC1" w:rsidR="00E10342" w:rsidRDefault="00D31DDB" w:rsidP="000424F2">
      <w:pPr>
        <w:pStyle w:val="Standard"/>
        <w:spacing w:line="240" w:lineRule="auto"/>
        <w:ind w:left="1" w:firstLine="708"/>
        <w:jc w:val="both"/>
      </w:pPr>
      <w:r>
        <w:rPr>
          <w:rFonts w:ascii="Times New Roman" w:hAnsi="Times New Roman" w:cs="Times New Roman"/>
          <w:bCs/>
          <w:sz w:val="24"/>
          <w:szCs w:val="24"/>
        </w:rPr>
        <w:t>Fuente: elaboración propia (2020).</w:t>
      </w:r>
    </w:p>
    <w:p w14:paraId="321DC345" w14:textId="2F4A1C74" w:rsidR="00E10342" w:rsidRDefault="00D31DDB" w:rsidP="00422D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Como se ha indicado antes, queda evidenciado con este este estudio que la mayoría de las víctimas de V. I. son mujeres costarricenses y no migrantes, o personas pertenecientes a otros grupos también vulnerables, contrario a lo que la sociedad tiende a</w:t>
      </w:r>
      <w:r w:rsidR="005F159A">
        <w:rPr>
          <w:rFonts w:ascii="Times New Roman" w:hAnsi="Times New Roman" w:cs="Times New Roman"/>
          <w:bCs/>
          <w:sz w:val="24"/>
          <w:szCs w:val="24"/>
        </w:rPr>
        <w:t xml:space="preserve"> </w:t>
      </w:r>
      <w:r>
        <w:rPr>
          <w:rFonts w:ascii="Times New Roman" w:hAnsi="Times New Roman" w:cs="Times New Roman"/>
          <w:bCs/>
          <w:sz w:val="24"/>
          <w:szCs w:val="24"/>
        </w:rPr>
        <w:t xml:space="preserve">considerar, esto es, que las mujeres mayormente agredidas son extranjeras y además dependientes económica y emocionalmente de sus parejas por dedicarse al trabajo dentro del hogar y con </w:t>
      </w:r>
      <w:r>
        <w:rPr>
          <w:rFonts w:ascii="Times New Roman" w:hAnsi="Times New Roman" w:cs="Times New Roman"/>
          <w:bCs/>
          <w:sz w:val="24"/>
          <w:szCs w:val="24"/>
        </w:rPr>
        <w:lastRenderedPageBreak/>
        <w:t>descendencia que depende del padre o compañero presunto o agresor de la víctima. Este panorama perpetúa el ciclo de V. I.</w:t>
      </w:r>
    </w:p>
    <w:p w14:paraId="3AD903EF" w14:textId="77777777" w:rsidR="00E10342" w:rsidRDefault="00D31DDB" w:rsidP="00422DE3">
      <w:pPr>
        <w:pStyle w:val="Standard"/>
        <w:spacing w:after="0" w:line="360" w:lineRule="auto"/>
        <w:ind w:firstLine="709"/>
        <w:jc w:val="both"/>
      </w:pPr>
      <w:r>
        <w:rPr>
          <w:rFonts w:ascii="Times New Roman" w:hAnsi="Times New Roman" w:cs="Times New Roman"/>
          <w:bCs/>
          <w:sz w:val="24"/>
          <w:szCs w:val="24"/>
        </w:rPr>
        <w:t>Cabe destacar que, aunque la educación es pública y gratuita en todos los niveles (preescolar, escolar, colegial y universitaria), en nuestro país la mayor parte de su población no está accediendo a educarse a nivel formal o para obtener un oficio y, con ello, obtener recursos de subsistencia</w:t>
      </w:r>
      <w:r>
        <w:rPr>
          <w:rFonts w:ascii="Times New Roman" w:hAnsi="Times New Roman" w:cs="Times New Roman"/>
          <w:b/>
          <w:bCs/>
          <w:sz w:val="24"/>
          <w:szCs w:val="24"/>
        </w:rPr>
        <w:t>.</w:t>
      </w:r>
    </w:p>
    <w:p w14:paraId="3278C7CF" w14:textId="77777777" w:rsidR="00E10342" w:rsidRDefault="00D31DDB" w:rsidP="00422D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Aunado a lo anterior, respecto al domicilio o residencia habitual de las solicitantes se determina para este TFG que la mayoría de las mujeres víctimas de V. I. lo han establecido en el cantón de Goicoechea, perteneciente a la provincia de San José, y que, en consecuencia, se halla presente en los siguientes distritos: Guadalupe, San Francisco, Calle Blancos, Mata de Plátano, </w:t>
      </w:r>
      <w:proofErr w:type="spellStart"/>
      <w:r>
        <w:rPr>
          <w:rFonts w:ascii="Times New Roman" w:hAnsi="Times New Roman" w:cs="Times New Roman"/>
          <w:bCs/>
          <w:sz w:val="24"/>
          <w:szCs w:val="24"/>
        </w:rPr>
        <w:t>Ipís</w:t>
      </w:r>
      <w:proofErr w:type="spellEnd"/>
      <w:r>
        <w:rPr>
          <w:rFonts w:ascii="Times New Roman" w:hAnsi="Times New Roman" w:cs="Times New Roman"/>
          <w:bCs/>
          <w:sz w:val="24"/>
          <w:szCs w:val="24"/>
        </w:rPr>
        <w:t>, Rancho Redondo y Purral.</w:t>
      </w:r>
    </w:p>
    <w:p w14:paraId="21D5A0B4" w14:textId="50D11E8F" w:rsidR="00CE1426" w:rsidRPr="00CE1426" w:rsidRDefault="009C7BE7" w:rsidP="009C7BE7">
      <w:pPr>
        <w:pStyle w:val="Descripcin"/>
        <w:spacing w:after="0" w:line="360" w:lineRule="auto"/>
        <w:rPr>
          <w:rFonts w:ascii="Times New Roman" w:hAnsi="Times New Roman" w:cs="Times New Roman"/>
          <w:b/>
          <w:bCs/>
          <w:i w:val="0"/>
          <w:iCs w:val="0"/>
          <w:color w:val="000000" w:themeColor="text1"/>
          <w:sz w:val="24"/>
          <w:szCs w:val="24"/>
        </w:rPr>
      </w:pPr>
      <w:bookmarkStart w:id="344" w:name="_Toc62481527"/>
      <w:r w:rsidRPr="00CE1426">
        <w:rPr>
          <w:rFonts w:ascii="Times New Roman" w:hAnsi="Times New Roman" w:cs="Times New Roman"/>
          <w:b/>
          <w:bCs/>
          <w:i w:val="0"/>
          <w:iCs w:val="0"/>
          <w:color w:val="000000" w:themeColor="text1"/>
          <w:sz w:val="24"/>
          <w:szCs w:val="24"/>
        </w:rPr>
        <w:t xml:space="preserve">Gráfico </w:t>
      </w:r>
      <w:r w:rsidRPr="00CE1426">
        <w:rPr>
          <w:rFonts w:ascii="Times New Roman" w:hAnsi="Times New Roman" w:cs="Times New Roman"/>
          <w:b/>
          <w:bCs/>
          <w:i w:val="0"/>
          <w:iCs w:val="0"/>
          <w:color w:val="000000" w:themeColor="text1"/>
          <w:sz w:val="24"/>
          <w:szCs w:val="24"/>
        </w:rPr>
        <w:fldChar w:fldCharType="begin"/>
      </w:r>
      <w:r w:rsidRPr="00CE1426">
        <w:rPr>
          <w:rFonts w:ascii="Times New Roman" w:hAnsi="Times New Roman" w:cs="Times New Roman"/>
          <w:b/>
          <w:bCs/>
          <w:i w:val="0"/>
          <w:iCs w:val="0"/>
          <w:color w:val="000000" w:themeColor="text1"/>
          <w:sz w:val="24"/>
          <w:szCs w:val="24"/>
        </w:rPr>
        <w:instrText xml:space="preserve"> SEQ Gráfico \* ARABIC </w:instrText>
      </w:r>
      <w:r w:rsidRPr="00CE1426">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7</w:t>
      </w:r>
      <w:r w:rsidRPr="00CE1426">
        <w:rPr>
          <w:rFonts w:ascii="Times New Roman" w:hAnsi="Times New Roman" w:cs="Times New Roman"/>
          <w:b/>
          <w:bCs/>
          <w:i w:val="0"/>
          <w:iCs w:val="0"/>
          <w:color w:val="000000" w:themeColor="text1"/>
          <w:sz w:val="24"/>
          <w:szCs w:val="24"/>
        </w:rPr>
        <w:fldChar w:fldCharType="end"/>
      </w:r>
      <w:r w:rsidRPr="00CE1426">
        <w:rPr>
          <w:rFonts w:ascii="Times New Roman" w:hAnsi="Times New Roman" w:cs="Times New Roman"/>
          <w:b/>
          <w:bCs/>
          <w:i w:val="0"/>
          <w:iCs w:val="0"/>
          <w:color w:val="000000" w:themeColor="text1"/>
          <w:sz w:val="24"/>
          <w:szCs w:val="24"/>
        </w:rPr>
        <w:t xml:space="preserve">. </w:t>
      </w:r>
    </w:p>
    <w:p w14:paraId="5E961DD3" w14:textId="520EEE37" w:rsidR="00E10342" w:rsidRPr="00CE1426" w:rsidRDefault="009C7BE7" w:rsidP="009C7BE7">
      <w:pPr>
        <w:pStyle w:val="Descripcin"/>
        <w:spacing w:after="0" w:line="360" w:lineRule="auto"/>
        <w:rPr>
          <w:rFonts w:ascii="Times New Roman" w:hAnsi="Times New Roman" w:cs="Times New Roman"/>
          <w:b/>
          <w:bCs/>
          <w:color w:val="000000" w:themeColor="text1"/>
          <w:sz w:val="24"/>
          <w:szCs w:val="24"/>
        </w:rPr>
      </w:pPr>
      <w:r w:rsidRPr="00CE1426">
        <w:rPr>
          <w:rFonts w:ascii="Times New Roman" w:hAnsi="Times New Roman" w:cs="Times New Roman"/>
          <w:b/>
          <w:bCs/>
          <w:color w:val="000000" w:themeColor="text1"/>
          <w:sz w:val="24"/>
          <w:szCs w:val="24"/>
        </w:rPr>
        <w:t>Cantones de San José con mayor índice de Violencia.</w:t>
      </w:r>
      <w:bookmarkEnd w:id="344"/>
    </w:p>
    <w:p w14:paraId="40030863" w14:textId="0DE2A5A8" w:rsidR="00E10342" w:rsidRDefault="0082240E" w:rsidP="009C7BE7">
      <w:pPr>
        <w:pStyle w:val="Standard"/>
        <w:spacing w:after="0" w:line="360" w:lineRule="auto"/>
        <w:ind w:left="709" w:hanging="709"/>
        <w:jc w:val="both"/>
        <w:rPr>
          <w:rFonts w:ascii="Times New Roman" w:hAnsi="Times New Roman" w:cs="Times New Roman"/>
          <w:bCs/>
          <w:sz w:val="24"/>
          <w:szCs w:val="24"/>
        </w:rPr>
      </w:pPr>
      <w:r w:rsidRPr="00441763">
        <w:rPr>
          <w:rFonts w:ascii="Times New Roman" w:hAnsi="Times New Roman" w:cs="Times New Roman"/>
          <w:bCs/>
          <w:noProof/>
          <w:sz w:val="24"/>
          <w:szCs w:val="24"/>
          <w:lang w:eastAsia="es-CR"/>
        </w:rPr>
        <w:drawing>
          <wp:inline distT="0" distB="0" distL="0" distR="0" wp14:anchorId="38804DBE" wp14:editId="2D333AEE">
            <wp:extent cx="5486400" cy="3200400"/>
            <wp:effectExtent l="0" t="0" r="0" b="0"/>
            <wp:docPr id="43" name="Gráfico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F65848C" w14:textId="1738B6CC" w:rsidR="00E10342" w:rsidRDefault="00D31DDB">
      <w:pPr>
        <w:pStyle w:val="Standard"/>
        <w:spacing w:line="240" w:lineRule="auto"/>
        <w:jc w:val="both"/>
      </w:pPr>
      <w:r>
        <w:rPr>
          <w:rFonts w:ascii="Times New Roman" w:hAnsi="Times New Roman" w:cs="Times New Roman"/>
          <w:bCs/>
          <w:iCs/>
          <w:sz w:val="24"/>
          <w:szCs w:val="24"/>
        </w:rPr>
        <w:t>Fuente: elaboración propia (2020).</w:t>
      </w:r>
    </w:p>
    <w:p w14:paraId="41AD85B7" w14:textId="46C43A91" w:rsidR="00E10342" w:rsidRDefault="00D31DDB" w:rsidP="00422DE3">
      <w:pPr>
        <w:pStyle w:val="Standard"/>
        <w:spacing w:after="0" w:line="360" w:lineRule="auto"/>
        <w:ind w:firstLine="709"/>
        <w:jc w:val="both"/>
      </w:pPr>
      <w:r>
        <w:rPr>
          <w:rFonts w:ascii="Times New Roman" w:hAnsi="Times New Roman" w:cs="Times New Roman"/>
          <w:bCs/>
          <w:sz w:val="24"/>
          <w:szCs w:val="24"/>
        </w:rPr>
        <w:t xml:space="preserve">Con este estudio de expedientes, se acredita que la V. I. se produce en zonas </w:t>
      </w:r>
      <w:r w:rsidR="00574818">
        <w:rPr>
          <w:rFonts w:ascii="Times New Roman" w:hAnsi="Times New Roman" w:cs="Times New Roman"/>
          <w:bCs/>
          <w:sz w:val="24"/>
          <w:szCs w:val="24"/>
        </w:rPr>
        <w:t>urbanas con</w:t>
      </w:r>
      <w:r>
        <w:rPr>
          <w:rFonts w:ascii="Times New Roman" w:hAnsi="Times New Roman" w:cs="Times New Roman"/>
          <w:bCs/>
          <w:sz w:val="24"/>
          <w:szCs w:val="24"/>
        </w:rPr>
        <w:t xml:space="preserve"> acceso a servicios públicos. Es importante señalar que el cantón de Goicoechea posee una gran influencia a nivel comercial, concentración de servicios, turísticos, comercios, escuelas, colegios, clínicas dentales, servicios médicos, variedad de centros comerciales e industriales, barrios residenciales, servicios básicos (tales como pulperías, verdulerías, </w:t>
      </w:r>
      <w:r>
        <w:rPr>
          <w:rFonts w:ascii="Times New Roman" w:hAnsi="Times New Roman" w:cs="Times New Roman"/>
          <w:bCs/>
          <w:sz w:val="24"/>
          <w:szCs w:val="24"/>
        </w:rPr>
        <w:lastRenderedPageBreak/>
        <w:t>universidades, instituciones públicas, entre otros), todo esto por ser un cantón cercano, en cuando a distancia, a la ciudad capital, San José.</w:t>
      </w:r>
    </w:p>
    <w:p w14:paraId="5BA0EA0B" w14:textId="256CDEC3" w:rsidR="00E10342" w:rsidRPr="00422DE3" w:rsidRDefault="00D31DDB" w:rsidP="00422DE3">
      <w:pPr>
        <w:pStyle w:val="Ttulo2"/>
        <w:jc w:val="both"/>
      </w:pPr>
      <w:bookmarkStart w:id="345" w:name="_Toc61277016"/>
      <w:bookmarkStart w:id="346" w:name="__RefHeading__27515_1894434827"/>
      <w:bookmarkStart w:id="347" w:name="_Toc62463366"/>
      <w:bookmarkStart w:id="348" w:name="_Toc62476101"/>
      <w:bookmarkStart w:id="349" w:name="_Toc62476307"/>
      <w:bookmarkStart w:id="350" w:name="_Toc63688971"/>
      <w:r w:rsidRPr="00422DE3">
        <w:t xml:space="preserve">5.3 Vulnerabilidad </w:t>
      </w:r>
      <w:r w:rsidR="00422DE3" w:rsidRPr="00422DE3">
        <w:t>c</w:t>
      </w:r>
      <w:r w:rsidRPr="00422DE3">
        <w:t xml:space="preserve">ognitiva en </w:t>
      </w:r>
      <w:r w:rsidR="00422DE3" w:rsidRPr="00422DE3">
        <w:t>v</w:t>
      </w:r>
      <w:r w:rsidRPr="00422DE3">
        <w:t xml:space="preserve">íctimas de </w:t>
      </w:r>
      <w:r w:rsidR="00422DE3" w:rsidRPr="00422DE3">
        <w:t>v</w:t>
      </w:r>
      <w:r w:rsidRPr="00422DE3">
        <w:t xml:space="preserve">iolencia </w:t>
      </w:r>
      <w:r w:rsidR="00422DE3" w:rsidRPr="00422DE3">
        <w:t>i</w:t>
      </w:r>
      <w:r w:rsidRPr="00422DE3">
        <w:t>ntrafamiliar en el Juzgado Contra la Violencia Doméstica del II Circuito Judicial de San José, en los expedientes Judiciales</w:t>
      </w:r>
      <w:bookmarkEnd w:id="345"/>
      <w:bookmarkEnd w:id="346"/>
      <w:bookmarkEnd w:id="347"/>
      <w:bookmarkEnd w:id="348"/>
      <w:bookmarkEnd w:id="349"/>
      <w:bookmarkEnd w:id="350"/>
    </w:p>
    <w:p w14:paraId="473F9BC3" w14:textId="2E785219" w:rsidR="00E10342" w:rsidRDefault="00D31DDB" w:rsidP="00422DE3">
      <w:pPr>
        <w:pStyle w:val="Standard"/>
        <w:spacing w:after="0" w:line="360" w:lineRule="auto"/>
        <w:ind w:firstLine="709"/>
        <w:jc w:val="both"/>
      </w:pPr>
      <w:r>
        <w:rPr>
          <w:rFonts w:ascii="Times New Roman" w:hAnsi="Times New Roman" w:cs="Times New Roman"/>
          <w:bCs/>
          <w:sz w:val="24"/>
          <w:szCs w:val="24"/>
        </w:rPr>
        <w:t xml:space="preserve">Es indispensable rescatar que, para el presente trabajo, se parte de que la </w:t>
      </w:r>
      <w:r>
        <w:rPr>
          <w:rFonts w:ascii="Times New Roman" w:hAnsi="Times New Roman" w:cs="Times New Roman"/>
          <w:bCs/>
          <w:sz w:val="24"/>
          <w:szCs w:val="24"/>
          <w:lang w:val="es-SV"/>
        </w:rPr>
        <w:t xml:space="preserve">vulnerabilidad cognitiva se encuentra presente sin distinción </w:t>
      </w:r>
      <w:r>
        <w:rPr>
          <w:rFonts w:ascii="Times New Roman" w:hAnsi="Times New Roman" w:cs="Times New Roman"/>
          <w:bCs/>
          <w:sz w:val="24"/>
          <w:szCs w:val="24"/>
        </w:rPr>
        <w:t>del tipo de maltrato hacia la mujer, sea este de índole psicológica, física o cualquier otra. Asimismo, esta trae vulnerabilidad somática, uso de sustancias para evitar la ansiedad (alcohol, drogas, abuso de psicofármacos) y dolor psiquiátrico; y una serie de cogniciones y creencias disfuncionales (vergüenza ante familiares, allegados y la justicia). Las mujeres en esta situación sostienen el valor de la familia unida y que los hijos e hijas necesitan a los padres juntos; no se creen capaces de mantenerse ellas mismas y a sus hijos, ni de autoabastecerse; han sido apartadas de la vida laboral fuera del hogar y carecen de estudios que les permitan mejorar su condición laboral, lo cual les paraliza; creen que la condición de agresión cambiará</w:t>
      </w:r>
      <w:r w:rsidR="005F159A">
        <w:rPr>
          <w:rFonts w:ascii="Times New Roman" w:hAnsi="Times New Roman" w:cs="Times New Roman"/>
          <w:bCs/>
          <w:sz w:val="24"/>
          <w:szCs w:val="24"/>
        </w:rPr>
        <w:t xml:space="preserve"> </w:t>
      </w:r>
      <w:r>
        <w:rPr>
          <w:rFonts w:ascii="Times New Roman" w:hAnsi="Times New Roman" w:cs="Times New Roman"/>
          <w:bCs/>
          <w:sz w:val="24"/>
          <w:szCs w:val="24"/>
        </w:rPr>
        <w:t>con el tiempo y que el amor mejorará la situación en la que se encuentran inmersas, y creen que son las causantes de los detonantes de la agresión cíclica con mucha confusión emocional (Arcas, 2014).</w:t>
      </w:r>
    </w:p>
    <w:p w14:paraId="6E4753AA" w14:textId="77777777" w:rsidR="00E10342" w:rsidRDefault="00D31DDB" w:rsidP="00422DE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 menester indicar que, en este este punto, las mujeres han interiorizado como “normal” la dependencia emocional, económica y afectiva, suya y de su descendencia, dando lugar a lo que la doctrina de género llama desesperanza aprendida, momento en donde, con frecuencia, buscan a toda costa sostener el instituto de la familia, aunque este no sea real, y mantienen el ideal de que sus hijos e hijas necesitan emocionalmente vivir con los padres bajo el mismo techo u hogar. No ven viable su capacidad de ser proveedoras de alimento, espiritualidad, educación o ninguna necesidad básica, ni para sí mismas ni para sus hijos.</w:t>
      </w:r>
    </w:p>
    <w:p w14:paraId="58605B03" w14:textId="18050EC3" w:rsidR="00E10342" w:rsidRDefault="00D31DDB" w:rsidP="00422DE3">
      <w:pPr>
        <w:pStyle w:val="Standard"/>
        <w:spacing w:after="0" w:line="360" w:lineRule="auto"/>
        <w:ind w:firstLine="709"/>
        <w:jc w:val="both"/>
      </w:pPr>
      <w:r>
        <w:rPr>
          <w:rFonts w:ascii="Times New Roman" w:hAnsi="Times New Roman" w:cs="Times New Roman"/>
          <w:bCs/>
          <w:sz w:val="24"/>
          <w:szCs w:val="24"/>
        </w:rPr>
        <w:t xml:space="preserve">En ese sentido, en este estudio se destaca que, como resultado del análisis de 30 expedientes, efectivamente, la dependencia económica en la mayoría de los casos por parte de las mujeres hacia sus compañeros, esposos, excónyuges o excompañeros es la que prevalece. Esto queda demostrado cuando, del análisis de ocupación u oficio, se rescata que en 16 expedientes las solicitantes indican ocuparse de los oficios </w:t>
      </w:r>
      <w:r w:rsidR="00574818">
        <w:rPr>
          <w:rFonts w:ascii="Times New Roman" w:hAnsi="Times New Roman" w:cs="Times New Roman"/>
          <w:bCs/>
          <w:sz w:val="24"/>
          <w:szCs w:val="24"/>
        </w:rPr>
        <w:t>domésticos. Y</w:t>
      </w:r>
      <w:r w:rsidR="005F159A">
        <w:rPr>
          <w:rFonts w:ascii="Times New Roman" w:hAnsi="Times New Roman" w:cs="Times New Roman"/>
          <w:bCs/>
          <w:sz w:val="24"/>
          <w:szCs w:val="24"/>
        </w:rPr>
        <w:t xml:space="preserve"> </w:t>
      </w:r>
      <w:r>
        <w:rPr>
          <w:rFonts w:ascii="Times New Roman" w:hAnsi="Times New Roman" w:cs="Times New Roman"/>
          <w:bCs/>
          <w:sz w:val="24"/>
          <w:szCs w:val="24"/>
        </w:rPr>
        <w:t xml:space="preserve">la restante </w:t>
      </w:r>
      <w:r>
        <w:rPr>
          <w:rFonts w:ascii="Times New Roman" w:hAnsi="Times New Roman" w:cs="Times New Roman"/>
          <w:bCs/>
          <w:sz w:val="24"/>
          <w:szCs w:val="24"/>
        </w:rPr>
        <w:lastRenderedPageBreak/>
        <w:t>muestra, lo que equivale a 14 expedientes,</w:t>
      </w:r>
      <w:r w:rsidR="005F159A">
        <w:rPr>
          <w:rFonts w:ascii="Times New Roman" w:hAnsi="Times New Roman" w:cs="Times New Roman"/>
          <w:bCs/>
          <w:sz w:val="24"/>
          <w:szCs w:val="24"/>
        </w:rPr>
        <w:t xml:space="preserve"> </w:t>
      </w:r>
      <w:r>
        <w:rPr>
          <w:rFonts w:ascii="Times New Roman" w:hAnsi="Times New Roman" w:cs="Times New Roman"/>
          <w:bCs/>
          <w:sz w:val="24"/>
          <w:szCs w:val="24"/>
        </w:rPr>
        <w:t>determinó</w:t>
      </w:r>
      <w:r w:rsidR="005F159A">
        <w:rPr>
          <w:rFonts w:ascii="Times New Roman" w:hAnsi="Times New Roman" w:cs="Times New Roman"/>
          <w:bCs/>
          <w:sz w:val="24"/>
          <w:szCs w:val="24"/>
        </w:rPr>
        <w:t xml:space="preserve"> </w:t>
      </w:r>
      <w:r>
        <w:rPr>
          <w:rFonts w:ascii="Times New Roman" w:hAnsi="Times New Roman" w:cs="Times New Roman"/>
          <w:bCs/>
          <w:sz w:val="24"/>
          <w:szCs w:val="24"/>
        </w:rPr>
        <w:t>que las mujeres</w:t>
      </w:r>
      <w:r w:rsidR="005F159A">
        <w:rPr>
          <w:rFonts w:ascii="Times New Roman" w:hAnsi="Times New Roman" w:cs="Times New Roman"/>
          <w:bCs/>
          <w:sz w:val="24"/>
          <w:szCs w:val="24"/>
        </w:rPr>
        <w:t xml:space="preserve"> </w:t>
      </w:r>
      <w:r>
        <w:rPr>
          <w:rFonts w:ascii="Times New Roman" w:hAnsi="Times New Roman" w:cs="Times New Roman"/>
          <w:bCs/>
          <w:sz w:val="24"/>
          <w:szCs w:val="24"/>
        </w:rPr>
        <w:t>poseen independencia económica por ser profesionales o con oficio remunerado fuera del hogar.</w:t>
      </w:r>
      <w:r w:rsidR="00574818">
        <w:rPr>
          <w:rFonts w:ascii="Times New Roman" w:hAnsi="Times New Roman" w:cs="Times New Roman"/>
          <w:bCs/>
          <w:sz w:val="24"/>
          <w:szCs w:val="24"/>
        </w:rPr>
        <w:t xml:space="preserve"> P</w:t>
      </w:r>
      <w:r>
        <w:rPr>
          <w:rFonts w:ascii="Times New Roman" w:hAnsi="Times New Roman" w:cs="Times New Roman"/>
          <w:bCs/>
          <w:sz w:val="24"/>
          <w:szCs w:val="24"/>
        </w:rPr>
        <w:t>or su parte la muestra obtenida de los 30 expedientes arroja que el número de hijos o hijas por mujer es de dos en promedio</w:t>
      </w:r>
      <w:r w:rsidR="00574818">
        <w:rPr>
          <w:rFonts w:ascii="Times New Roman" w:hAnsi="Times New Roman" w:cs="Times New Roman"/>
          <w:bCs/>
          <w:sz w:val="24"/>
          <w:szCs w:val="24"/>
        </w:rPr>
        <w:t>.</w:t>
      </w:r>
    </w:p>
    <w:p w14:paraId="03905DF5" w14:textId="3EABF8EA" w:rsidR="00E10342" w:rsidRDefault="00D31DDB" w:rsidP="00422DE3">
      <w:pPr>
        <w:pStyle w:val="Standard"/>
        <w:spacing w:after="0" w:line="360" w:lineRule="auto"/>
        <w:ind w:firstLine="709"/>
        <w:jc w:val="both"/>
      </w:pPr>
      <w:r>
        <w:rPr>
          <w:rFonts w:ascii="Times New Roman" w:hAnsi="Times New Roman" w:cs="Times New Roman"/>
          <w:bCs/>
          <w:sz w:val="24"/>
          <w:szCs w:val="24"/>
        </w:rPr>
        <w:t>Es importante rescatar que, en los expedientes estudiados, se evidencia que como medio empleado para perpetuar la desesperanza aprendida y, con esto, la dependencia económica en las mujeres víctimas, se encuentran las dosis de agresión verbal y psicológica que brindan sus agresores a lo largo de la convivencia. Dicha situación les impide visualizar una vida libre de violencia, lo que implica vivir sin el agresor, de manera independiente, empoderadas, solas o con sus hijos a base de trabajo y esfuerzo. Las siguientes palabras o frases reflejan lo anterior:</w:t>
      </w:r>
    </w:p>
    <w:p w14:paraId="547127A4" w14:textId="77777777" w:rsidR="00E10342" w:rsidRDefault="00D31DDB" w:rsidP="00422DE3">
      <w:pPr>
        <w:pStyle w:val="Standard"/>
        <w:numPr>
          <w:ilvl w:val="0"/>
          <w:numId w:val="31"/>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“Muerta de hambre”.</w:t>
      </w:r>
    </w:p>
    <w:p w14:paraId="140A9BCB" w14:textId="77777777" w:rsidR="00E10342" w:rsidRDefault="00D31DDB" w:rsidP="00422DE3">
      <w:pPr>
        <w:pStyle w:val="Standard"/>
        <w:numPr>
          <w:ilvl w:val="0"/>
          <w:numId w:val="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“Inferior”, “necia”, “fracasada”.</w:t>
      </w:r>
    </w:p>
    <w:p w14:paraId="76076CB8" w14:textId="77777777" w:rsidR="00E10342" w:rsidRDefault="00D31DDB" w:rsidP="00422DE3">
      <w:pPr>
        <w:pStyle w:val="Standard"/>
        <w:numPr>
          <w:ilvl w:val="0"/>
          <w:numId w:val="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“No vale”.</w:t>
      </w:r>
    </w:p>
    <w:p w14:paraId="15E2D4F8" w14:textId="77777777" w:rsidR="00E10342" w:rsidRDefault="00D31DDB" w:rsidP="00422DE3">
      <w:pPr>
        <w:pStyle w:val="Standard"/>
        <w:numPr>
          <w:ilvl w:val="0"/>
          <w:numId w:val="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“Inútil”, “mantenida”,” maldita”.</w:t>
      </w:r>
    </w:p>
    <w:p w14:paraId="3A10E6F7" w14:textId="77777777" w:rsidR="00E10342" w:rsidRDefault="00D31DDB" w:rsidP="00422DE3">
      <w:pPr>
        <w:pStyle w:val="Standard"/>
        <w:numPr>
          <w:ilvl w:val="0"/>
          <w:numId w:val="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“Hijueputa”,” malparida”, “basura”, “loca”.</w:t>
      </w:r>
    </w:p>
    <w:p w14:paraId="35796667" w14:textId="77777777" w:rsidR="00E10342" w:rsidRDefault="00D31DDB" w:rsidP="00422DE3">
      <w:pPr>
        <w:pStyle w:val="Standard"/>
        <w:numPr>
          <w:ilvl w:val="0"/>
          <w:numId w:val="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 “Puta”, “zorra”, “idiota”.</w:t>
      </w:r>
    </w:p>
    <w:p w14:paraId="0D5A3AA3" w14:textId="77777777" w:rsidR="00E10342" w:rsidRDefault="00D31DDB" w:rsidP="00422DE3">
      <w:pPr>
        <w:pStyle w:val="Standard"/>
        <w:numPr>
          <w:ilvl w:val="0"/>
          <w:numId w:val="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“No la deja salir sola o a trabajar”.</w:t>
      </w:r>
    </w:p>
    <w:p w14:paraId="5988420D" w14:textId="77777777" w:rsidR="00E10342" w:rsidRDefault="00D31DDB" w:rsidP="00422DE3">
      <w:pPr>
        <w:pStyle w:val="Standard"/>
        <w:numPr>
          <w:ilvl w:val="0"/>
          <w:numId w:val="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“Romper”, “hurtar” “despojo de bienes materiales”.</w:t>
      </w:r>
    </w:p>
    <w:p w14:paraId="5B5AC776" w14:textId="77777777" w:rsidR="00E10342" w:rsidRDefault="00D31DDB" w:rsidP="00422DE3">
      <w:pPr>
        <w:pStyle w:val="Standard"/>
        <w:numPr>
          <w:ilvl w:val="0"/>
          <w:numId w:val="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“Dejar de pagar alquiler de vivienda, dejar de pagar cuota bancaria”.</w:t>
      </w:r>
    </w:p>
    <w:p w14:paraId="44A2D26F" w14:textId="77777777" w:rsidR="00E10342" w:rsidRDefault="00D31DDB" w:rsidP="00422DE3">
      <w:pPr>
        <w:pStyle w:val="Standard"/>
        <w:numPr>
          <w:ilvl w:val="0"/>
          <w:numId w:val="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“Amenaza con quitarle a sus hijos”, “mala madre” etc.</w:t>
      </w:r>
    </w:p>
    <w:p w14:paraId="356FBAA0" w14:textId="77777777" w:rsidR="00E10342" w:rsidRDefault="00D31DDB" w:rsidP="00E739E0">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Asimismo, el presente estudio arroja como resultado el que se reconocen diversos tipos de violencia, a saber:</w:t>
      </w:r>
    </w:p>
    <w:p w14:paraId="1A575ED9" w14:textId="25B9EE44" w:rsidR="00E10342" w:rsidRPr="00E739E0" w:rsidRDefault="00E739E0" w:rsidP="00E739E0">
      <w:pPr>
        <w:pStyle w:val="Ttulo3"/>
      </w:pPr>
      <w:bookmarkStart w:id="351" w:name="_Toc62476102"/>
      <w:bookmarkStart w:id="352" w:name="_Toc62476308"/>
      <w:bookmarkStart w:id="353" w:name="_Toc63688972"/>
      <w:r w:rsidRPr="00E739E0">
        <w:t xml:space="preserve">5.3.1 </w:t>
      </w:r>
      <w:r w:rsidR="00D31DDB" w:rsidRPr="00E739E0">
        <w:t>Violencia física</w:t>
      </w:r>
      <w:bookmarkEnd w:id="351"/>
      <w:bookmarkEnd w:id="352"/>
      <w:bookmarkEnd w:id="353"/>
    </w:p>
    <w:p w14:paraId="24DE72B1" w14:textId="3D6FDAAA" w:rsidR="00E10342" w:rsidRDefault="00D31DDB" w:rsidP="00E739E0">
      <w:pPr>
        <w:pStyle w:val="Standard"/>
        <w:spacing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Por violencia física se comprende, según la Ley contra la Violencia Doméstica, Ley </w:t>
      </w:r>
      <w:proofErr w:type="spellStart"/>
      <w:r>
        <w:rPr>
          <w:rFonts w:ascii="Times New Roman" w:hAnsi="Times New Roman" w:cs="Times New Roman"/>
          <w:bCs/>
          <w:sz w:val="24"/>
          <w:szCs w:val="24"/>
        </w:rPr>
        <w:t>N.°</w:t>
      </w:r>
      <w:proofErr w:type="spellEnd"/>
      <w:r>
        <w:rPr>
          <w:rFonts w:ascii="Times New Roman" w:hAnsi="Times New Roman" w:cs="Times New Roman"/>
          <w:bCs/>
          <w:sz w:val="24"/>
          <w:szCs w:val="24"/>
        </w:rPr>
        <w:t xml:space="preserve"> 7586, artículo 2, inciso c: “acción u omisión que arriesga o daña la integridad corporal de una persona”. En el presente análisis, esta se encontró presente en 17 de los 30 expedientes estudiados, lo que significa que, en la gran mayoría de los asuntos investigados en V. I., esta se encuentra presente fuertemente unida a la dependencia económica como vulnerabilidad cognitiva, lo que hace comprender lo difícil que es para las mujeres víctimas de V. I.</w:t>
      </w:r>
      <w:r w:rsidR="005F159A">
        <w:rPr>
          <w:rFonts w:ascii="Times New Roman" w:hAnsi="Times New Roman" w:cs="Times New Roman"/>
          <w:bCs/>
          <w:sz w:val="24"/>
          <w:szCs w:val="24"/>
        </w:rPr>
        <w:t xml:space="preserve"> </w:t>
      </w:r>
      <w:r>
        <w:rPr>
          <w:rFonts w:ascii="Times New Roman" w:hAnsi="Times New Roman" w:cs="Times New Roman"/>
          <w:bCs/>
          <w:sz w:val="24"/>
          <w:szCs w:val="24"/>
        </w:rPr>
        <w:t>romper el ciclo de V. I., empoderarse y continuar sus vidas.</w:t>
      </w:r>
    </w:p>
    <w:p w14:paraId="06CE6E2A" w14:textId="1ADC6EAA" w:rsidR="00E10342" w:rsidRPr="00E739E0" w:rsidRDefault="00E739E0" w:rsidP="00E739E0">
      <w:pPr>
        <w:pStyle w:val="Ttulo3"/>
      </w:pPr>
      <w:bookmarkStart w:id="354" w:name="_Toc62476103"/>
      <w:bookmarkStart w:id="355" w:name="_Toc62476309"/>
      <w:bookmarkStart w:id="356" w:name="_Toc63688973"/>
      <w:r>
        <w:lastRenderedPageBreak/>
        <w:t xml:space="preserve">5.3.2 </w:t>
      </w:r>
      <w:r w:rsidR="00D31DDB" w:rsidRPr="00E739E0">
        <w:t>Violencia sexual</w:t>
      </w:r>
      <w:bookmarkEnd w:id="354"/>
      <w:bookmarkEnd w:id="355"/>
      <w:bookmarkEnd w:id="356"/>
    </w:p>
    <w:p w14:paraId="4C0B0557" w14:textId="77777777" w:rsidR="00E739E0" w:rsidRDefault="004B368F" w:rsidP="00E739E0">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w:t>
      </w:r>
      <w:r w:rsidR="00D31DDB">
        <w:rPr>
          <w:rFonts w:ascii="Times New Roman" w:hAnsi="Times New Roman" w:cs="Times New Roman"/>
          <w:bCs/>
          <w:sz w:val="24"/>
          <w:szCs w:val="24"/>
        </w:rPr>
        <w:t xml:space="preserve">a violencia sexual se </w:t>
      </w:r>
      <w:r>
        <w:rPr>
          <w:rFonts w:ascii="Times New Roman" w:hAnsi="Times New Roman" w:cs="Times New Roman"/>
          <w:bCs/>
          <w:sz w:val="24"/>
          <w:szCs w:val="24"/>
        </w:rPr>
        <w:t xml:space="preserve">comprende </w:t>
      </w:r>
      <w:r w:rsidR="00D31DDB">
        <w:rPr>
          <w:rFonts w:ascii="Times New Roman" w:hAnsi="Times New Roman" w:cs="Times New Roman"/>
          <w:bCs/>
          <w:sz w:val="24"/>
          <w:szCs w:val="24"/>
        </w:rPr>
        <w:t>como</w:t>
      </w:r>
      <w:r>
        <w:rPr>
          <w:rFonts w:ascii="Times New Roman" w:hAnsi="Times New Roman" w:cs="Times New Roman"/>
          <w:bCs/>
          <w:sz w:val="24"/>
          <w:szCs w:val="24"/>
        </w:rPr>
        <w:t xml:space="preserve"> </w:t>
      </w:r>
      <w:r w:rsidR="00D31DDB">
        <w:rPr>
          <w:rFonts w:ascii="Times New Roman" w:hAnsi="Times New Roman" w:cs="Times New Roman"/>
          <w:bCs/>
          <w:sz w:val="24"/>
          <w:szCs w:val="24"/>
        </w:rPr>
        <w:t>cualquier conducta sexual, directa o indirecta, que ocurra en contra de la voluntad de la otra persona o cuando ella no está en condiciones de consentir.</w:t>
      </w:r>
      <w:r w:rsidRPr="004B368F">
        <w:rPr>
          <w:rFonts w:ascii="Times New Roman" w:hAnsi="Times New Roman" w:cs="Times New Roman"/>
          <w:bCs/>
          <w:sz w:val="24"/>
          <w:szCs w:val="24"/>
        </w:rPr>
        <w:t xml:space="preserve"> </w:t>
      </w:r>
      <w:r>
        <w:rPr>
          <w:rFonts w:ascii="Times New Roman" w:hAnsi="Times New Roman" w:cs="Times New Roman"/>
          <w:bCs/>
          <w:sz w:val="24"/>
          <w:szCs w:val="24"/>
        </w:rPr>
        <w:t>Claramunt (2002)</w:t>
      </w:r>
    </w:p>
    <w:p w14:paraId="4E34B8DC" w14:textId="77777777" w:rsidR="00E739E0" w:rsidRDefault="00D31DDB" w:rsidP="00E739E0">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Dicha situación de V. I. contra la mujer, a la fecha, se ha logrado visualizar al amparo del reconocimiento de los derechos y libertades sexuales de las mujeres (acto sexual, métodos de planificación y procreación).</w:t>
      </w:r>
    </w:p>
    <w:p w14:paraId="61D45EB1" w14:textId="656E2956" w:rsidR="00E10342" w:rsidRDefault="00D31DDB" w:rsidP="00E739E0">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En el presente estudio, se encontraron dos casos reportados, los cuales no solo se tramitaron en el Juzgado Contra la V. I., sino que fueron remitidos con un testimonio de piezas ante el Ministerio Público, dependencia judicial en la cual les dan trámite a fin de investigar si existe algún delito desde la materia penal y donde, además, se brinda protección a la víctima y los testigos, así como un abordaje integral con psicología y trabajo social.</w:t>
      </w:r>
    </w:p>
    <w:p w14:paraId="0E7005F9" w14:textId="00640230" w:rsidR="00E10342" w:rsidRPr="00696245" w:rsidRDefault="00696245" w:rsidP="00696245">
      <w:pPr>
        <w:pStyle w:val="Ttulo3"/>
      </w:pPr>
      <w:bookmarkStart w:id="357" w:name="_Toc62476104"/>
      <w:bookmarkStart w:id="358" w:name="_Toc62476310"/>
      <w:bookmarkStart w:id="359" w:name="_Toc63688974"/>
      <w:r w:rsidRPr="00696245">
        <w:t xml:space="preserve">5.3.3 </w:t>
      </w:r>
      <w:r w:rsidR="00D31DDB" w:rsidRPr="00696245">
        <w:t>Violencia psicológica y emocional</w:t>
      </w:r>
      <w:bookmarkEnd w:id="357"/>
      <w:bookmarkEnd w:id="358"/>
      <w:bookmarkEnd w:id="359"/>
    </w:p>
    <w:p w14:paraId="7AA1E51D" w14:textId="1F3D0F39" w:rsidR="00E10342" w:rsidRDefault="00D31DDB" w:rsidP="00696245">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Este tipo de V.I es utilizada con el afán de subordinar a otra persona mediante la degradación y la intimidación.</w:t>
      </w:r>
      <w:r w:rsidR="005F159A">
        <w:rPr>
          <w:rFonts w:ascii="Times New Roman" w:hAnsi="Times New Roman" w:cs="Times New Roman"/>
          <w:bCs/>
          <w:sz w:val="24"/>
          <w:szCs w:val="24"/>
        </w:rPr>
        <w:t xml:space="preserve"> </w:t>
      </w:r>
      <w:r>
        <w:rPr>
          <w:rFonts w:ascii="Times New Roman" w:hAnsi="Times New Roman" w:cs="Times New Roman"/>
          <w:bCs/>
          <w:sz w:val="24"/>
          <w:szCs w:val="24"/>
        </w:rPr>
        <w:t>La Ley Contra la Violencia Doméstica, en su artículo 2</w:t>
      </w:r>
      <w:r w:rsidR="0098376C">
        <w:rPr>
          <w:rFonts w:ascii="Times New Roman" w:hAnsi="Times New Roman" w:cs="Times New Roman"/>
          <w:bCs/>
          <w:sz w:val="24"/>
          <w:szCs w:val="24"/>
        </w:rPr>
        <w:t>,</w:t>
      </w:r>
      <w:r>
        <w:rPr>
          <w:rFonts w:ascii="Times New Roman" w:hAnsi="Times New Roman" w:cs="Times New Roman"/>
          <w:bCs/>
          <w:sz w:val="24"/>
          <w:szCs w:val="24"/>
        </w:rPr>
        <w:t xml:space="preserve"> inciso b, la define como sigue:</w:t>
      </w:r>
    </w:p>
    <w:p w14:paraId="2FDF8A90" w14:textId="77777777" w:rsidR="00E10342" w:rsidRDefault="00D31DDB" w:rsidP="00696245">
      <w:pPr>
        <w:pStyle w:val="Standard"/>
        <w:spacing w:after="0" w:line="360" w:lineRule="auto"/>
        <w:ind w:left="709"/>
        <w:jc w:val="both"/>
      </w:pPr>
      <w:r w:rsidRPr="00B2668D">
        <w:rPr>
          <w:rFonts w:ascii="Times New Roman" w:hAnsi="Times New Roman" w:cs="Times New Roman"/>
          <w:bCs/>
          <w:sz w:val="24"/>
          <w:szCs w:val="24"/>
        </w:rPr>
        <w:t>Acción u omisión destinada a degradar o controlar las acciones, comportamientos, creencias y decisiones de otras personas, por medio de intimidación, manipulación, amenaza, directa o indirecta, humillación, aislamiento o cualquier otra conducta que implique un perjuicio en la salud psicológica, la autodeterminación o el desarrollo personal.</w:t>
      </w:r>
    </w:p>
    <w:p w14:paraId="2DD38810" w14:textId="4267BB2B" w:rsidR="00E10342" w:rsidRDefault="00D31DDB" w:rsidP="00696245">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Mediante este estudio, se determina que el tipo de violencia intrafamiliar al que se enfrentan las mujeres víctimas corresponde a la violencia verbal y la psicológica (psicológica-emocional), debido a que es la que mayores reportes tiene: de 30 expedientes estudiados, se encuentra presente en 23. Esto hace evidente que la violencia emocional o psicológica es utilizada para minar la autoestima de las mujeres víctimas de V. I. como medio de retenerlas en dicha condición, sin romper el ciclo de agresión, máxime cuando la dependencia económica es la vulnerabilidad cognitiva prevaleciente.</w:t>
      </w:r>
    </w:p>
    <w:p w14:paraId="271787CF" w14:textId="7A1CFF9E" w:rsidR="00E10342" w:rsidRPr="00696245" w:rsidRDefault="00696245" w:rsidP="00696245">
      <w:pPr>
        <w:pStyle w:val="Ttulo3"/>
      </w:pPr>
      <w:bookmarkStart w:id="360" w:name="_Toc62476105"/>
      <w:bookmarkStart w:id="361" w:name="_Toc62476311"/>
      <w:bookmarkStart w:id="362" w:name="_Toc63688975"/>
      <w:r w:rsidRPr="00696245">
        <w:t xml:space="preserve">5.3.4 </w:t>
      </w:r>
      <w:r w:rsidR="00D31DDB" w:rsidRPr="00696245">
        <w:t>Violencia patrimonial</w:t>
      </w:r>
      <w:bookmarkEnd w:id="360"/>
      <w:bookmarkEnd w:id="361"/>
      <w:bookmarkEnd w:id="362"/>
    </w:p>
    <w:p w14:paraId="4CC1DA4E" w14:textId="0236D3F9" w:rsidR="00E10342" w:rsidRDefault="00D31DDB" w:rsidP="00696245">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La Ley Contra la Violencia Doméstica, Ley N.º 7586 define la V. I. patrimonial en su artículo 2 inciso e, como sigue:</w:t>
      </w:r>
    </w:p>
    <w:p w14:paraId="43E0AE77" w14:textId="77777777" w:rsidR="00E10342" w:rsidRDefault="00D31DDB" w:rsidP="00696245">
      <w:pPr>
        <w:pStyle w:val="Standard"/>
        <w:spacing w:after="0" w:line="360" w:lineRule="auto"/>
        <w:ind w:left="709"/>
        <w:jc w:val="both"/>
      </w:pPr>
      <w:r w:rsidRPr="00B2668D">
        <w:rPr>
          <w:rFonts w:ascii="Times New Roman" w:hAnsi="Times New Roman" w:cs="Times New Roman"/>
          <w:bCs/>
          <w:sz w:val="24"/>
          <w:szCs w:val="24"/>
        </w:rPr>
        <w:lastRenderedPageBreak/>
        <w:t>Acción u omisión que implica daño, pérdida, transformación, sustracción, destrucción, retención o distracción de objetos, instrumentos de trabajo, documentos personales, bienes, valores, derechos o recursos económicos destinados a satisfacer las necesidades de alguna de las personas mencionadas en el inciso a) anterior correspondiente a la definición de violencia anteriormente citada.</w:t>
      </w:r>
    </w:p>
    <w:p w14:paraId="1D91D3B0" w14:textId="084AFA0C" w:rsidR="00E10342" w:rsidRDefault="00D31DDB" w:rsidP="00696245">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En el presente TFG, este tipo de agresión se reflejó en 20 expedientes de los 30 estudiados, lo que deja en evidencia que su incidencia es alta y que las mujeres víctimas de V. I. no solo son golpeadas, o maltratadas físicamente, sino sufren maltrato a nivel emocional, con una alta dependencia económica, y son despojadas de pertenencias patrimoniales valiosas para sí. Esto mima su ánimo y retrasa el empoderamiento necesario para romper con el ciclo de la violencia sufrida. En los expedientes, se encontró que las pertenencias de las mujeres fueron desaparecidas, rotas, botadas o arrebatadas, así como quemadas por los agresores.</w:t>
      </w:r>
    </w:p>
    <w:p w14:paraId="75A6D654" w14:textId="53A12AFF" w:rsidR="00CE1426" w:rsidRPr="00CE1426" w:rsidRDefault="009C7BE7" w:rsidP="009C7BE7">
      <w:pPr>
        <w:pStyle w:val="Descripcin"/>
        <w:spacing w:after="0" w:line="360" w:lineRule="auto"/>
        <w:rPr>
          <w:rFonts w:ascii="Times New Roman" w:hAnsi="Times New Roman" w:cs="Times New Roman"/>
          <w:b/>
          <w:bCs/>
          <w:i w:val="0"/>
          <w:iCs w:val="0"/>
          <w:color w:val="000000" w:themeColor="text1"/>
          <w:sz w:val="24"/>
          <w:szCs w:val="24"/>
        </w:rPr>
      </w:pPr>
      <w:bookmarkStart w:id="363" w:name="_Toc62481528"/>
      <w:r w:rsidRPr="00CE1426">
        <w:rPr>
          <w:rFonts w:ascii="Times New Roman" w:hAnsi="Times New Roman" w:cs="Times New Roman"/>
          <w:b/>
          <w:bCs/>
          <w:i w:val="0"/>
          <w:iCs w:val="0"/>
          <w:color w:val="000000" w:themeColor="text1"/>
          <w:sz w:val="24"/>
          <w:szCs w:val="24"/>
        </w:rPr>
        <w:t xml:space="preserve">Gráfico </w:t>
      </w:r>
      <w:r w:rsidRPr="00CE1426">
        <w:rPr>
          <w:rFonts w:ascii="Times New Roman" w:hAnsi="Times New Roman" w:cs="Times New Roman"/>
          <w:b/>
          <w:bCs/>
          <w:i w:val="0"/>
          <w:iCs w:val="0"/>
          <w:color w:val="000000" w:themeColor="text1"/>
          <w:sz w:val="24"/>
          <w:szCs w:val="24"/>
        </w:rPr>
        <w:fldChar w:fldCharType="begin"/>
      </w:r>
      <w:r w:rsidRPr="00CE1426">
        <w:rPr>
          <w:rFonts w:ascii="Times New Roman" w:hAnsi="Times New Roman" w:cs="Times New Roman"/>
          <w:b/>
          <w:bCs/>
          <w:i w:val="0"/>
          <w:iCs w:val="0"/>
          <w:color w:val="000000" w:themeColor="text1"/>
          <w:sz w:val="24"/>
          <w:szCs w:val="24"/>
        </w:rPr>
        <w:instrText xml:space="preserve"> SEQ Gráfico \* ARABIC </w:instrText>
      </w:r>
      <w:r w:rsidRPr="00CE1426">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8</w:t>
      </w:r>
      <w:r w:rsidRPr="00CE1426">
        <w:rPr>
          <w:rFonts w:ascii="Times New Roman" w:hAnsi="Times New Roman" w:cs="Times New Roman"/>
          <w:b/>
          <w:bCs/>
          <w:i w:val="0"/>
          <w:iCs w:val="0"/>
          <w:color w:val="000000" w:themeColor="text1"/>
          <w:sz w:val="24"/>
          <w:szCs w:val="24"/>
        </w:rPr>
        <w:fldChar w:fldCharType="end"/>
      </w:r>
      <w:r w:rsidRPr="00CE1426">
        <w:rPr>
          <w:rFonts w:ascii="Times New Roman" w:hAnsi="Times New Roman" w:cs="Times New Roman"/>
          <w:b/>
          <w:bCs/>
          <w:i w:val="0"/>
          <w:iCs w:val="0"/>
          <w:color w:val="000000" w:themeColor="text1"/>
          <w:sz w:val="24"/>
          <w:szCs w:val="24"/>
        </w:rPr>
        <w:t>.</w:t>
      </w:r>
    </w:p>
    <w:p w14:paraId="3F674672" w14:textId="2B6FA8AE" w:rsidR="009C7BE7" w:rsidRPr="009C7BE7" w:rsidRDefault="009C7BE7" w:rsidP="009C7BE7">
      <w:pPr>
        <w:pStyle w:val="Descripcin"/>
        <w:spacing w:after="0" w:line="360" w:lineRule="auto"/>
        <w:rPr>
          <w:rFonts w:ascii="Times New Roman" w:hAnsi="Times New Roman" w:cs="Times New Roman"/>
          <w:b/>
          <w:bCs/>
          <w:color w:val="000000" w:themeColor="text1"/>
          <w:sz w:val="24"/>
          <w:szCs w:val="24"/>
        </w:rPr>
      </w:pPr>
      <w:r w:rsidRPr="009C7BE7">
        <w:rPr>
          <w:rFonts w:ascii="Times New Roman" w:hAnsi="Times New Roman" w:cs="Times New Roman"/>
          <w:b/>
          <w:bCs/>
          <w:color w:val="000000" w:themeColor="text1"/>
          <w:sz w:val="24"/>
          <w:szCs w:val="24"/>
        </w:rPr>
        <w:t>Tipos de violencia intrafamiliar.</w:t>
      </w:r>
      <w:bookmarkEnd w:id="363"/>
    </w:p>
    <w:p w14:paraId="7E72D336" w14:textId="47A8B822" w:rsidR="00E10342" w:rsidRDefault="0082240E" w:rsidP="009C7BE7">
      <w:pPr>
        <w:pStyle w:val="Standard"/>
        <w:spacing w:after="0" w:line="360" w:lineRule="auto"/>
        <w:jc w:val="both"/>
        <w:rPr>
          <w:rFonts w:ascii="Times New Roman" w:hAnsi="Times New Roman" w:cs="Times New Roman"/>
          <w:bCs/>
          <w:sz w:val="24"/>
          <w:szCs w:val="24"/>
        </w:rPr>
      </w:pPr>
      <w:r w:rsidRPr="00441763">
        <w:rPr>
          <w:rFonts w:ascii="Times New Roman" w:hAnsi="Times New Roman" w:cs="Times New Roman"/>
          <w:bCs/>
          <w:noProof/>
          <w:sz w:val="24"/>
          <w:szCs w:val="24"/>
          <w:lang w:eastAsia="es-CR"/>
        </w:rPr>
        <w:drawing>
          <wp:inline distT="0" distB="0" distL="0" distR="0" wp14:anchorId="7762BC03" wp14:editId="21D3ABE3">
            <wp:extent cx="5486400" cy="3200400"/>
            <wp:effectExtent l="0" t="0" r="0" b="0"/>
            <wp:docPr id="44" name="Gráfico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61DBB60" w14:textId="0933D119" w:rsidR="00E10342" w:rsidRDefault="00D31DDB">
      <w:pPr>
        <w:pStyle w:val="Standard"/>
        <w:spacing w:line="360" w:lineRule="auto"/>
        <w:jc w:val="both"/>
      </w:pPr>
      <w:r>
        <w:rPr>
          <w:rFonts w:ascii="Times New Roman" w:hAnsi="Times New Roman" w:cs="Times New Roman"/>
          <w:bCs/>
          <w:iCs/>
          <w:sz w:val="24"/>
          <w:szCs w:val="24"/>
        </w:rPr>
        <w:t>Fuente</w:t>
      </w:r>
      <w:r>
        <w:rPr>
          <w:rFonts w:ascii="Times New Roman" w:hAnsi="Times New Roman" w:cs="Times New Roman"/>
          <w:bCs/>
          <w:i/>
          <w:iCs/>
          <w:sz w:val="24"/>
          <w:szCs w:val="24"/>
        </w:rPr>
        <w:t>:</w:t>
      </w:r>
      <w:r>
        <w:rPr>
          <w:rFonts w:ascii="Times New Roman" w:hAnsi="Times New Roman" w:cs="Times New Roman"/>
          <w:bCs/>
          <w:iCs/>
          <w:sz w:val="24"/>
          <w:szCs w:val="24"/>
        </w:rPr>
        <w:t xml:space="preserve"> elaboración propia (2020).</w:t>
      </w:r>
    </w:p>
    <w:p w14:paraId="0DAA15FD" w14:textId="4224D301" w:rsidR="00E10342" w:rsidRDefault="00D31DDB" w:rsidP="003E4F94">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En cuanto al uso de drogas y alcohol, el 100% de las presuntas víctimas o personas agredidas niega el consumo de estas sustancias, así como el uso de armas.</w:t>
      </w:r>
    </w:p>
    <w:p w14:paraId="511A42A8" w14:textId="19BF9EF6" w:rsidR="00E10342" w:rsidRDefault="00D31DDB" w:rsidP="003E4F94">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lastRenderedPageBreak/>
        <w:t>Sin embargo, con relación a los agresores, indican que estos sí las utilizan y consumen. De tal manera, estudiados los 30 expedientes, estos son los hallazgos:</w:t>
      </w:r>
    </w:p>
    <w:p w14:paraId="777C0643" w14:textId="77777777" w:rsidR="00E10342" w:rsidRDefault="00D31DDB" w:rsidP="003E4F94">
      <w:pPr>
        <w:pStyle w:val="Standard"/>
        <w:numPr>
          <w:ilvl w:val="0"/>
          <w:numId w:val="32"/>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En 7 expedientes, las mujeres indican que los agresores consumen licor</w:t>
      </w:r>
    </w:p>
    <w:p w14:paraId="6C09335F" w14:textId="77777777"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 En 8 expedientes, las mujeres indican que los agresores consumen alcohol.</w:t>
      </w:r>
    </w:p>
    <w:p w14:paraId="3804A73E" w14:textId="77777777"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En 1 expedientes, las mujeres indican que el agresor consume droga.</w:t>
      </w:r>
    </w:p>
    <w:p w14:paraId="2590C65F" w14:textId="77777777"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En 5 expedientes, las mujeres no indican que el agresor consume, pero consume.</w:t>
      </w:r>
    </w:p>
    <w:p w14:paraId="3E1703FA" w14:textId="77777777"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En 1 expedientes, la mujer indica que el agresor consume licor, cocaína, chico, marihuana.</w:t>
      </w:r>
    </w:p>
    <w:p w14:paraId="14006304" w14:textId="77777777"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En 1 expediente, la mujer indica que el agresor consume licor, </w:t>
      </w:r>
      <w:proofErr w:type="spellStart"/>
      <w:r>
        <w:rPr>
          <w:rFonts w:ascii="Times New Roman" w:hAnsi="Times New Roman" w:cs="Times New Roman"/>
          <w:bCs/>
          <w:sz w:val="24"/>
          <w:szCs w:val="24"/>
        </w:rPr>
        <w:t>kematina</w:t>
      </w:r>
      <w:proofErr w:type="spellEnd"/>
      <w:r>
        <w:rPr>
          <w:rFonts w:ascii="Times New Roman" w:hAnsi="Times New Roman" w:cs="Times New Roman"/>
          <w:bCs/>
          <w:sz w:val="24"/>
          <w:szCs w:val="24"/>
        </w:rPr>
        <w:t>, marihuana.</w:t>
      </w:r>
    </w:p>
    <w:p w14:paraId="6DE35815" w14:textId="7EF465A2"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En 2 expedientes, las mujeres indican que el agresor consume licor y drogas.</w:t>
      </w:r>
    </w:p>
    <w:p w14:paraId="45B71058" w14:textId="00EBF07E"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En 1 expediente, la mujer indica que el agresor consume licor, drogas y usa armas.</w:t>
      </w:r>
    </w:p>
    <w:p w14:paraId="1AFADD68" w14:textId="77777777"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 En 1 expediente, la mujer indica que el agresor consume marihuana.</w:t>
      </w:r>
    </w:p>
    <w:p w14:paraId="250CA5AA" w14:textId="77777777"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En 1 expediente, la mujer indica que el agresor consume marihuana y usa arma.</w:t>
      </w:r>
    </w:p>
    <w:p w14:paraId="713C3E26" w14:textId="77777777" w:rsidR="00E10342" w:rsidRDefault="00D31DDB" w:rsidP="003E4F94">
      <w:pPr>
        <w:pStyle w:val="Standard"/>
        <w:numPr>
          <w:ilvl w:val="0"/>
          <w:numId w:val="6"/>
        </w:numPr>
        <w:tabs>
          <w:tab w:val="left" w:pos="993"/>
          <w:tab w:val="left" w:pos="1418"/>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En 1 expediente, la mujer indica que el agresor usa arma.</w:t>
      </w:r>
    </w:p>
    <w:p w14:paraId="2F293E61" w14:textId="04BBDF6A" w:rsidR="00E10342" w:rsidRDefault="00D31DDB" w:rsidP="003E4F94">
      <w:pPr>
        <w:pStyle w:val="Standard"/>
        <w:numPr>
          <w:ilvl w:val="0"/>
          <w:numId w:val="6"/>
        </w:numPr>
        <w:tabs>
          <w:tab w:val="left" w:pos="993"/>
          <w:tab w:val="left" w:pos="1418"/>
        </w:tabs>
        <w:spacing w:after="0" w:line="360" w:lineRule="auto"/>
        <w:ind w:left="0" w:firstLine="709"/>
        <w:jc w:val="both"/>
      </w:pPr>
      <w:r>
        <w:rPr>
          <w:rFonts w:ascii="Times New Roman" w:hAnsi="Times New Roman" w:cs="Times New Roman"/>
          <w:bCs/>
          <w:sz w:val="24"/>
          <w:szCs w:val="24"/>
        </w:rPr>
        <w:t>En 1 expediente, la mujer no indica consumo de sustancias o uso de armas</w:t>
      </w:r>
      <w:r>
        <w:rPr>
          <w:rFonts w:ascii="Times New Roman" w:hAnsi="Times New Roman" w:cs="Times New Roman"/>
          <w:b/>
          <w:bCs/>
          <w:sz w:val="24"/>
          <w:szCs w:val="24"/>
        </w:rPr>
        <w:t>.</w:t>
      </w:r>
    </w:p>
    <w:p w14:paraId="3C6A2927" w14:textId="77777777" w:rsidR="00E10342" w:rsidRDefault="00D31DDB" w:rsidP="00B2668D">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Según lo anterior, es evidente que el uso de armas y alcohol son agravantes de riesgo para las víctimas que no deben quedar únicamente como una más de las manifestaciones de las víctimas al momento de solicitar medidas de protección a su favor, ni tampoco al arbitrio subjetivo de la persona juzgadora al momento del otorgamiento de las medidas de protección al caso concreto, sino que debe ser una circunstancia que denote alarma de atención para proteger de una mejor manera a la víctima. Esto último se abordará seguidamente con los hallazgos encontrados con respecto a la vulnerabilidad cognitiva encontrada.</w:t>
      </w:r>
    </w:p>
    <w:p w14:paraId="4FB984E0" w14:textId="5CAA9A42" w:rsidR="00E10342" w:rsidRPr="00B2668D" w:rsidRDefault="00D31DDB" w:rsidP="00B2668D">
      <w:pPr>
        <w:pStyle w:val="Ttulo2"/>
        <w:jc w:val="both"/>
      </w:pPr>
      <w:bookmarkStart w:id="364" w:name="_Toc61277017"/>
      <w:bookmarkStart w:id="365" w:name="__RefHeading__27517_1894434827"/>
      <w:bookmarkStart w:id="366" w:name="_Toc62463367"/>
      <w:bookmarkStart w:id="367" w:name="_Toc62476106"/>
      <w:bookmarkStart w:id="368" w:name="_Toc62476312"/>
      <w:bookmarkStart w:id="369" w:name="_Toc63688976"/>
      <w:r w:rsidRPr="00B2668D">
        <w:t xml:space="preserve">5.4 Abordaje de la </w:t>
      </w:r>
      <w:r w:rsidR="00B2668D" w:rsidRPr="00B2668D">
        <w:t>v</w:t>
      </w:r>
      <w:r w:rsidRPr="00B2668D">
        <w:t xml:space="preserve">ulnerabilidad </w:t>
      </w:r>
      <w:r w:rsidR="00B2668D" w:rsidRPr="00B2668D">
        <w:t>c</w:t>
      </w:r>
      <w:r w:rsidRPr="00B2668D">
        <w:t xml:space="preserve">ognitiva en </w:t>
      </w:r>
      <w:r w:rsidR="00B2668D" w:rsidRPr="00B2668D">
        <w:t>m</w:t>
      </w:r>
      <w:r w:rsidRPr="00B2668D">
        <w:t xml:space="preserve">ujeres </w:t>
      </w:r>
      <w:r w:rsidR="00B2668D" w:rsidRPr="00B2668D">
        <w:t>v</w:t>
      </w:r>
      <w:r w:rsidRPr="00B2668D">
        <w:t xml:space="preserve">íctimas de </w:t>
      </w:r>
      <w:r w:rsidR="00B2668D" w:rsidRPr="00B2668D">
        <w:t>v</w:t>
      </w:r>
      <w:r w:rsidRPr="00B2668D">
        <w:t xml:space="preserve">iolencia </w:t>
      </w:r>
      <w:r w:rsidR="00B2668D" w:rsidRPr="00B2668D">
        <w:t>i</w:t>
      </w:r>
      <w:r w:rsidRPr="00B2668D">
        <w:t>ntrafamiliar en el Juzgado de Violencia Doméstica del II Circuito Judicial de San José, en el Período 2018-2019</w:t>
      </w:r>
      <w:bookmarkEnd w:id="364"/>
      <w:bookmarkEnd w:id="365"/>
      <w:bookmarkEnd w:id="366"/>
      <w:bookmarkEnd w:id="367"/>
      <w:bookmarkEnd w:id="368"/>
      <w:bookmarkEnd w:id="369"/>
    </w:p>
    <w:p w14:paraId="1B2B58B3" w14:textId="51D96C38" w:rsidR="00E10342" w:rsidRDefault="00D31DDB" w:rsidP="00B2668D">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La importancia de conocer sobre la finalidad de los juzgados contra la V. D. o V.I. es garantizar la aplicación de la Ley Contra la Violencia Doméstica e Intrafamiliar en aras de proteger la vida, la integridad y la dignidad de las víctimas. Para ello, se ha estandarizado el proceso de atención, considerando que la Ley Contra la Violencia doméstica fue </w:t>
      </w:r>
      <w:r w:rsidR="004B368F">
        <w:rPr>
          <w:rFonts w:ascii="Times New Roman" w:hAnsi="Times New Roman" w:cs="Times New Roman"/>
          <w:bCs/>
          <w:sz w:val="24"/>
          <w:szCs w:val="24"/>
        </w:rPr>
        <w:lastRenderedPageBreak/>
        <w:t>reformada en</w:t>
      </w:r>
      <w:r>
        <w:rPr>
          <w:rFonts w:ascii="Times New Roman" w:hAnsi="Times New Roman" w:cs="Times New Roman"/>
          <w:bCs/>
          <w:sz w:val="24"/>
          <w:szCs w:val="24"/>
        </w:rPr>
        <w:t xml:space="preserve"> diciembre del año 2010, mediante la Ley N.º 8925, que modificó los artículos 1, 3, 4, 5, 6, 12, 17 y 20, siendo su trámite de la siguiente manera:</w:t>
      </w:r>
    </w:p>
    <w:p w14:paraId="68F67DE7" w14:textId="77777777" w:rsidR="00E10342" w:rsidRDefault="00D31DDB" w:rsidP="00FA3C53">
      <w:pPr>
        <w:pStyle w:val="Standard"/>
        <w:numPr>
          <w:ilvl w:val="0"/>
          <w:numId w:val="33"/>
        </w:numPr>
        <w:tabs>
          <w:tab w:val="left" w:pos="1134"/>
        </w:tabs>
        <w:spacing w:after="0" w:line="360" w:lineRule="auto"/>
        <w:ind w:left="709" w:firstLine="0"/>
        <w:jc w:val="both"/>
        <w:rPr>
          <w:rFonts w:ascii="Times New Roman" w:hAnsi="Times New Roman" w:cs="Times New Roman"/>
          <w:bCs/>
          <w:sz w:val="24"/>
          <w:szCs w:val="24"/>
        </w:rPr>
      </w:pPr>
      <w:r>
        <w:rPr>
          <w:rFonts w:ascii="Times New Roman" w:hAnsi="Times New Roman" w:cs="Times New Roman"/>
          <w:bCs/>
          <w:sz w:val="24"/>
          <w:szCs w:val="24"/>
        </w:rPr>
        <w:t>Solicitud de medidas de protección: realizada de manera verbal o escrita. Se indican datos de identificación de la víctima, hechos a denunciar, pruebas, pretensiones (que medidas solicita) y se establece lugar para notificaciones.</w:t>
      </w:r>
    </w:p>
    <w:p w14:paraId="5348ED92" w14:textId="77777777" w:rsidR="00E10342" w:rsidRDefault="00D31DDB" w:rsidP="00FA3C53">
      <w:pPr>
        <w:pStyle w:val="Standard"/>
        <w:numPr>
          <w:ilvl w:val="0"/>
          <w:numId w:val="16"/>
        </w:numPr>
        <w:tabs>
          <w:tab w:val="left" w:pos="1134"/>
        </w:tabs>
        <w:spacing w:after="0" w:line="360" w:lineRule="auto"/>
        <w:ind w:left="709" w:firstLine="0"/>
        <w:jc w:val="both"/>
        <w:rPr>
          <w:rFonts w:ascii="Times New Roman" w:hAnsi="Times New Roman" w:cs="Times New Roman"/>
          <w:bCs/>
          <w:sz w:val="24"/>
          <w:szCs w:val="24"/>
        </w:rPr>
      </w:pPr>
      <w:r>
        <w:rPr>
          <w:rFonts w:ascii="Times New Roman" w:hAnsi="Times New Roman" w:cs="Times New Roman"/>
          <w:bCs/>
          <w:sz w:val="24"/>
          <w:szCs w:val="24"/>
        </w:rPr>
        <w:t xml:space="preserve"> Aplicación de medidas y plazo para audiencia: el juez o la jueza dicta de inmediato las medidas de protección provisionales correspondientes. En la resolución que ordena las medidas provisionales, la autoridad judicial indica al presunto agresor la posibilidad de solicitar audiencia de recepción de prueba dentro de los cinco días al que fue notificado del auto que dictó medidas cautelares y, de no hacerlo automáticamente, las medidas se prorrogan por un año.</w:t>
      </w:r>
    </w:p>
    <w:p w14:paraId="2FCECE09" w14:textId="77777777" w:rsidR="00E10342" w:rsidRDefault="00D31DDB" w:rsidP="00FA3C53">
      <w:pPr>
        <w:pStyle w:val="Standard"/>
        <w:numPr>
          <w:ilvl w:val="0"/>
          <w:numId w:val="16"/>
        </w:numPr>
        <w:tabs>
          <w:tab w:val="left" w:pos="1134"/>
        </w:tabs>
        <w:spacing w:after="0" w:line="360" w:lineRule="auto"/>
        <w:ind w:left="709" w:firstLine="0"/>
        <w:jc w:val="both"/>
        <w:rPr>
          <w:rFonts w:ascii="Times New Roman" w:hAnsi="Times New Roman" w:cs="Times New Roman"/>
          <w:bCs/>
          <w:sz w:val="24"/>
          <w:szCs w:val="24"/>
        </w:rPr>
      </w:pPr>
      <w:r>
        <w:rPr>
          <w:rFonts w:ascii="Times New Roman" w:hAnsi="Times New Roman" w:cs="Times New Roman"/>
          <w:bCs/>
          <w:sz w:val="24"/>
          <w:szCs w:val="24"/>
        </w:rPr>
        <w:t xml:space="preserve">Si se realiza la audiencia, ambas pueden presentar pruebas ante la persona juzgadora, quien valorará la prueba y podrá solicitar dictámenes periciales y valoraciones </w:t>
      </w:r>
      <w:proofErr w:type="gramStart"/>
      <w:r>
        <w:rPr>
          <w:rFonts w:ascii="Times New Roman" w:hAnsi="Times New Roman" w:cs="Times New Roman"/>
          <w:bCs/>
          <w:sz w:val="24"/>
          <w:szCs w:val="24"/>
        </w:rPr>
        <w:t>médico-legales</w:t>
      </w:r>
      <w:proofErr w:type="gramEnd"/>
      <w:r>
        <w:rPr>
          <w:rFonts w:ascii="Times New Roman" w:hAnsi="Times New Roman" w:cs="Times New Roman"/>
          <w:bCs/>
          <w:sz w:val="24"/>
          <w:szCs w:val="24"/>
        </w:rPr>
        <w:t>. Evacuada la prueba, se determina si las medidas otorgadas permanecen en ejecución o se levantan. La resolución final o sentencia es recurrible ante el Tribunal de Familia.</w:t>
      </w:r>
    </w:p>
    <w:p w14:paraId="2BC2FA80" w14:textId="77777777" w:rsidR="00E10342" w:rsidRDefault="00D31DDB" w:rsidP="00FA3C53">
      <w:pPr>
        <w:pStyle w:val="Standard"/>
        <w:numPr>
          <w:ilvl w:val="0"/>
          <w:numId w:val="16"/>
        </w:numPr>
        <w:tabs>
          <w:tab w:val="left" w:pos="1134"/>
        </w:tabs>
        <w:spacing w:after="0" w:line="360" w:lineRule="auto"/>
        <w:ind w:left="709" w:firstLine="0"/>
        <w:jc w:val="both"/>
        <w:rPr>
          <w:rFonts w:ascii="Times New Roman" w:hAnsi="Times New Roman" w:cs="Times New Roman"/>
          <w:bCs/>
          <w:sz w:val="24"/>
          <w:szCs w:val="24"/>
        </w:rPr>
      </w:pPr>
      <w:r>
        <w:rPr>
          <w:rFonts w:ascii="Times New Roman" w:hAnsi="Times New Roman" w:cs="Times New Roman"/>
          <w:bCs/>
          <w:sz w:val="24"/>
          <w:szCs w:val="24"/>
        </w:rPr>
        <w:t>Seguimiento de las medidas de protección: en coordinación con el Programa de Violencia Doméstica del Departamento de Trabajo Social y Psicología, profesionales en trabajo social brindan seguimiento a la situación de la víctima, valorando el contexto familiar, así como el cumplimiento o no de las medidas de protección dictadas.</w:t>
      </w:r>
    </w:p>
    <w:p w14:paraId="7210C20F" w14:textId="10F8B5EA"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Una vez determinada la dinámica de aplicación de la Ley Contra la Violencia Doméstica, es posible indicar los siguientes hallazgos:</w:t>
      </w:r>
    </w:p>
    <w:p w14:paraId="07F1B72F" w14:textId="77777777"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 A. Que, dentro de las medidas de protección dispuestas en la Ley Contra la V. D., en su artículo 3, se encuentran las siguientes:</w:t>
      </w:r>
    </w:p>
    <w:p w14:paraId="5F0D31C1"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a) Ordenar a la presunta persona agresora que salga inmediatamente del domicilio común y, de acuerdo con las particularidades de la situación de violencia, limitarla a un área distante al de la presunta persona agredida. En el término de veinticuatro horas, la presunta persona agresora deberá informar a la autoridad judicial sobre la dirección exacta de su nueva residencia. La misma obligación tendrá cada vez que cambie de residencia. Si se resiste o incumple la orden será obligada por la Fuerza </w:t>
      </w:r>
      <w:r>
        <w:rPr>
          <w:rFonts w:ascii="Times New Roman" w:hAnsi="Times New Roman" w:cs="Times New Roman"/>
          <w:bCs/>
          <w:sz w:val="24"/>
          <w:szCs w:val="24"/>
        </w:rPr>
        <w:lastRenderedPageBreak/>
        <w:t>Pública, y se testimoniarán piezas por el delito de incumplimiento de una medida de protección.</w:t>
      </w:r>
    </w:p>
    <w:p w14:paraId="183AB559"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b) Autorizar a la presunta persona agredida un domicilio diferente del común, previa solicitud suya, para protegerla de agresiones futuras.</w:t>
      </w:r>
    </w:p>
    <w:p w14:paraId="1F4BD0F4"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c) Ordenar el allanamiento del domicilio, pudiendo procederse a cualquier hora cuando, por violencia doméstica, se arriesgue gravemente la integridad física, sexual, patrimonial o psicológica de cualquiera de sus habitantes. Esta medida se efectuará conforme a lo dispuesto en el Código Procesal Penal.</w:t>
      </w:r>
    </w:p>
    <w:p w14:paraId="3A9BEE44"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d) Prohibir que la presunta persona agresora posea o porte armas de fuego punzocortantes o punzo contundentes. Asimismo, prohibir que se introduzcan o se mantengan armas en la casa de habitación cuando se utilicen para intimidar, amenazar o causar daño a alguna de las personas citadas en el inciso a) del artículo 2 de esta Ley.</w:t>
      </w:r>
    </w:p>
    <w:p w14:paraId="0B108770"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e) Decomisar las armas y los objetos que se utilicen para intimidar, en posesión de la presunta persona agresora y ordenar la cancelación de la portación de armas.</w:t>
      </w:r>
    </w:p>
    <w:p w14:paraId="14289A46"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f) De ser necesario y según las particularidades del caso, se podrá suspender provisionalmente a la presunta persona agresora el ejercicio de la guarda, crianza y educación de sus hijos e hijas menores de edad, así como la representación y administración de los bienes de estas y la protección de personas adultas mayores y personas que presenten alguna condición de discapacidad.</w:t>
      </w:r>
    </w:p>
    <w:p w14:paraId="74B326F3"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g) Ordenar a la presunta persona agresora abstenerse de interferir, de cualquier forma, en el ejercicio de la guarda, crianza y educación de sus hijos e hijas, así como en la representación y administración de los bienes de estas. Igual medida se podrá ordenar en la protección y representación de personas adultas mayores y personas que presenten alguna condición de discapacidad. Lo anterior, en los casos en los que la autoridad competente ordenara aplicar el inciso f) de este artículo.</w:t>
      </w:r>
    </w:p>
    <w:p w14:paraId="17EA28F9"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h) Suspenderle provisionalmente a la presunta persona agresora el derecho de visitar a los hijos e hijas menores de edad, en los casos en que esta ejerza algún tipo de agresión. 5 LEY </w:t>
      </w:r>
      <w:proofErr w:type="spellStart"/>
      <w:r>
        <w:rPr>
          <w:rFonts w:ascii="Times New Roman" w:hAnsi="Times New Roman" w:cs="Times New Roman"/>
          <w:bCs/>
          <w:sz w:val="24"/>
          <w:szCs w:val="24"/>
        </w:rPr>
        <w:t>Nº</w:t>
      </w:r>
      <w:proofErr w:type="spellEnd"/>
      <w:r>
        <w:rPr>
          <w:rFonts w:ascii="Times New Roman" w:hAnsi="Times New Roman" w:cs="Times New Roman"/>
          <w:bCs/>
          <w:sz w:val="24"/>
          <w:szCs w:val="24"/>
        </w:rPr>
        <w:t xml:space="preserve"> 7586 ASAMBLEA LEGISLATIVA DE COSTA RICA</w:t>
      </w:r>
    </w:p>
    <w:p w14:paraId="0D329321"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i) Confiar la guarda protectora a quien la autoridad judicial considere idóneo para esa función, si tal guarda ha sido encargada a la presunta persona agresora, cuando </w:t>
      </w:r>
      <w:r>
        <w:rPr>
          <w:rFonts w:ascii="Times New Roman" w:hAnsi="Times New Roman" w:cs="Times New Roman"/>
          <w:bCs/>
          <w:sz w:val="24"/>
          <w:szCs w:val="24"/>
        </w:rPr>
        <w:lastRenderedPageBreak/>
        <w:t>la víctima sea persona menor de edad, persona adulta mayor que no pueda valerse por sí misma o persona que presente algún grado de discapacidad, en los casos en que la autoridad competente ordenara aplicar el inciso f) de este artículo.</w:t>
      </w:r>
    </w:p>
    <w:p w14:paraId="68431514"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j) Prohibirle a la presunta persona agresora que agreda, perturbe o intimide a cualquier integrante del grupo familiar de la presunta víctima de violencia doméstica.</w:t>
      </w:r>
    </w:p>
    <w:p w14:paraId="708C9407"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k) Prohibirle el acceso a la presunta persona agresora al domicilio, permanente o temporal, de la persona agredida y a su lugar de trabajo o estudio. De igual manera, acercarse a dichos lugares a una distancia razonable a criterio de la jueza o el juez.</w:t>
      </w:r>
    </w:p>
    <w:p w14:paraId="5C17C2BB"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l) Fijar una obligación alimentaria provisional en favor de la presunta víctima y de los demás dependientes que corresponda, de conformidad con la Ley de pensiones alimentarias, N.º 7654, aun cuando no se cuente con documento idóneo que acredite el grado de parentesco. Una vez fijada, de oficio, se testimoniarán piezas y se remitirán a la autoridad judicial correspondiente. m) Disponer el embargo preventivo, por un plazo máximo de tres meses, contado a partir de la fecha en que se ejecute la resolución que lo ordene, sobre la casa de habitación familiar y sobre los bienes de la presunta persona agresora necesarios para respaldar la obligación alimentaria en favor de la persona agredida y los dependientes que corresponda, de conformidad con la ley; dicho plazo podrá ser prorrogado por la jueza o el juez cuando razonablemente las circunstancias lo ameriten. Para aplicar esta medida, no será necesario ningún depósito de garantía ni el pago de honorarios ni de otros gastos.</w:t>
      </w:r>
    </w:p>
    <w:p w14:paraId="1696793F"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n) Levantar un inventario de los bienes muebles existentes en el núcleo habitacional, en particular el menaje de casa u otros que le sirvan como medio de trabajo a la persona agredida.</w:t>
      </w:r>
    </w:p>
    <w:p w14:paraId="25B61C49"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ñ) Otorgar el uso exclusivo del menaje de casa a la persona agredida. Deberán salvaguardarse especialmente la vivienda y el menaje amparado al régimen de patrimonio familiar.</w:t>
      </w:r>
    </w:p>
    <w:p w14:paraId="5667F16A"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o) Ordenar a la presunta persona agresora que se abstenga de interferir en el uso y disfrute de los instrumentos de trabajo de la persona agredida. Cuando esta sea una persona adulta mayor o presente alguna condición de discapacidad, la presunta </w:t>
      </w:r>
      <w:r>
        <w:rPr>
          <w:rFonts w:ascii="Times New Roman" w:hAnsi="Times New Roman" w:cs="Times New Roman"/>
          <w:bCs/>
          <w:sz w:val="24"/>
          <w:szCs w:val="24"/>
        </w:rPr>
        <w:lastRenderedPageBreak/>
        <w:t>persona agresora no deberá interferir en el uso y disfrute de instrumentos indispensables para que la víctima pueda valerse por sí misma o integrarse a la sociedad.</w:t>
      </w:r>
    </w:p>
    <w:p w14:paraId="6CA541A0"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 xml:space="preserve"> p) Ordenar a la presunta persona agresora la reparación en dinero efectivo de los daños y perjuicios ocasionados a la persona agredida o a los bienes que le sean indispensables para continuar su vida normal. Se incluyen gastos de traslado, reparaciones a la propiedad, alojamiento y gastos médicos. El monto se hará efectivo en el mismo proceso mediante el embargo y remate de los bienes necesarios para cubrir los daños ocasionados, a juicio de la autoridad judicial competente.</w:t>
      </w:r>
    </w:p>
    <w:p w14:paraId="1AD39A54" w14:textId="77777777" w:rsidR="00E10342" w:rsidRDefault="00D31DDB" w:rsidP="00FA3C53">
      <w:pPr>
        <w:pStyle w:val="Standard"/>
        <w:spacing w:after="0" w:line="360" w:lineRule="auto"/>
        <w:ind w:left="709"/>
        <w:jc w:val="both"/>
        <w:rPr>
          <w:rFonts w:ascii="Times New Roman" w:hAnsi="Times New Roman" w:cs="Times New Roman"/>
          <w:bCs/>
          <w:sz w:val="24"/>
          <w:szCs w:val="24"/>
        </w:rPr>
      </w:pPr>
      <w:r>
        <w:rPr>
          <w:rFonts w:ascii="Times New Roman" w:hAnsi="Times New Roman" w:cs="Times New Roman"/>
          <w:bCs/>
          <w:sz w:val="24"/>
          <w:szCs w:val="24"/>
        </w:rPr>
        <w:t>q) Emitir una orden de protección y auxilio policial dirigida a la autoridad de seguridad pública de su vecindario. La víctima portará copia de esta orden para que pueda acudir a la autoridad más cercana, en caso de amenaza de agresión fuera de su domicilio. (Ley N.º 7586)</w:t>
      </w:r>
    </w:p>
    <w:p w14:paraId="635ECD53" w14:textId="37332CEF"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Para aplicar cualquiera de las medidas enumeradas en este artículo o de otras que, de acuerdo con las particularidades de la situación de violencia intrafamiliar, deban adoptarse, la autoridad judicial podrá requerir la colaboración de la policía administrativa y de la policía judicial. De incumplirse una o varias de estas medidas contraviniendo una orden emanada de la autoridad competente, esta deberá testimoniar piezas al Ministerio Público para que se siga el juzgamiento por el delito de incumplimiento de una medida de protección. (Este artículo 3 fue reformado por el artículo 1, de la Ley N.º 8925, de 03 de febrero de 2011, publicada en La Gaceta N.º 43, de 02 de marzo de 2011)</w:t>
      </w:r>
    </w:p>
    <w:p w14:paraId="46F7C23E" w14:textId="414F9B20"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Sin embargo, la persona juzgadora, quien conoce e las solicitudes de medidas de protección al momento de la solicitud en el 100 %, generalmente otorga las medidas con cierta frecuencia, al menos esto es el reflejo en la muestra efectuada en 30 expedientes entre los años 2018 y 2019 para este TFG.</w:t>
      </w:r>
    </w:p>
    <w:p w14:paraId="29E39D3D" w14:textId="25FEED59" w:rsidR="00E10342" w:rsidRDefault="00D31DDB" w:rsidP="00FA3C53">
      <w:pPr>
        <w:pStyle w:val="Standard"/>
        <w:spacing w:after="0" w:line="360" w:lineRule="auto"/>
        <w:ind w:firstLine="709"/>
        <w:jc w:val="both"/>
      </w:pPr>
      <w:r>
        <w:rPr>
          <w:rFonts w:ascii="Times New Roman" w:hAnsi="Times New Roman" w:cs="Times New Roman"/>
          <w:bCs/>
          <w:sz w:val="24"/>
          <w:szCs w:val="24"/>
        </w:rPr>
        <w:t xml:space="preserve">Llama la atención que, pese a las particularidades que se denotan en cada proceso estudiado y lo diferentes que son las personas usuarias, pareciera que todos los asuntos se resuelven de forma similar, sin detenerse en las características que les diferencian. Por otra parte, la carga laboral hace que se resuelvan sin mucho miramiento, porque lo que se requiere es dar las medidas de protección, de ahí los siguientes hallazgos, tipificados de </w:t>
      </w:r>
      <w:r>
        <w:rPr>
          <w:rFonts w:ascii="Times New Roman" w:hAnsi="Times New Roman" w:cs="Times New Roman"/>
          <w:bCs/>
          <w:sz w:val="24"/>
          <w:szCs w:val="24"/>
        </w:rPr>
        <w:lastRenderedPageBreak/>
        <w:t>acuerdo con la nomenclatura del inciso del artículo 3 de la Ley Contra la Violencia Doméstica:</w:t>
      </w:r>
    </w:p>
    <w:p w14:paraId="1C140966" w14:textId="77777777" w:rsidR="00E10342" w:rsidRDefault="00D31DDB" w:rsidP="00FA3C53">
      <w:pPr>
        <w:pStyle w:val="Prrafodelista"/>
        <w:numPr>
          <w:ilvl w:val="0"/>
          <w:numId w:val="15"/>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j), k), q): en 18 oportunidades.</w:t>
      </w:r>
    </w:p>
    <w:p w14:paraId="47B95889" w14:textId="420466CD" w:rsidR="00E10342" w:rsidRDefault="00D31DDB" w:rsidP="00FA3C53">
      <w:pPr>
        <w:pStyle w:val="Prrafodelista"/>
        <w:numPr>
          <w:ilvl w:val="0"/>
          <w:numId w:val="15"/>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j) y q): en</w:t>
      </w:r>
      <w:r w:rsidR="005F159A">
        <w:rPr>
          <w:rFonts w:ascii="Times New Roman" w:hAnsi="Times New Roman" w:cs="Times New Roman"/>
          <w:bCs/>
          <w:sz w:val="24"/>
          <w:szCs w:val="24"/>
        </w:rPr>
        <w:t xml:space="preserve"> </w:t>
      </w:r>
      <w:r>
        <w:rPr>
          <w:rFonts w:ascii="Times New Roman" w:hAnsi="Times New Roman" w:cs="Times New Roman"/>
          <w:bCs/>
          <w:sz w:val="24"/>
          <w:szCs w:val="24"/>
        </w:rPr>
        <w:t>6 procesos.</w:t>
      </w:r>
    </w:p>
    <w:p w14:paraId="2C864860" w14:textId="77777777" w:rsidR="00E10342" w:rsidRDefault="00D31DDB" w:rsidP="00FA3C53">
      <w:pPr>
        <w:pStyle w:val="Prrafodelista"/>
        <w:numPr>
          <w:ilvl w:val="0"/>
          <w:numId w:val="15"/>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j), q) y “atípica”: 2 expedientes.</w:t>
      </w:r>
    </w:p>
    <w:p w14:paraId="36936517" w14:textId="77777777" w:rsidR="00E10342" w:rsidRDefault="00D31DDB" w:rsidP="00FA3C53">
      <w:pPr>
        <w:pStyle w:val="Prrafodelista"/>
        <w:numPr>
          <w:ilvl w:val="0"/>
          <w:numId w:val="15"/>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d), e), j), k) y q): en 2 solicitudes.</w:t>
      </w:r>
    </w:p>
    <w:p w14:paraId="4F99F181" w14:textId="77777777" w:rsidR="00E10342" w:rsidRDefault="00D31DDB" w:rsidP="00FA3C53">
      <w:pPr>
        <w:pStyle w:val="Prrafodelista"/>
        <w:numPr>
          <w:ilvl w:val="0"/>
          <w:numId w:val="15"/>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b), d), j), n) y ñ): en 1 oportunidad.</w:t>
      </w:r>
    </w:p>
    <w:p w14:paraId="5FD2CD02" w14:textId="77777777" w:rsidR="00E10342" w:rsidRDefault="00D31DDB" w:rsidP="00FA3C53">
      <w:pPr>
        <w:pStyle w:val="Prrafodelista"/>
        <w:numPr>
          <w:ilvl w:val="0"/>
          <w:numId w:val="15"/>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a), j), k) y q): en 2 momentos.</w:t>
      </w:r>
    </w:p>
    <w:p w14:paraId="350FBC30" w14:textId="278E799E"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Según el análisis, no se otorgan medidas en 1 ocasión por estar los individuos separados ante proceso de divorcio y el esposo no cancela la cuota bancaria del patrimonio familiar, lo cual causa mucho estrés y esto no se valora como causa de violencia intrafamiliar. Igualmente, tampoco se valoró el hecho de haberse detectado 7 amenazas de muerte para el otorgamiento de medidas diversas a las tradicionalmente otorgadas.</w:t>
      </w:r>
    </w:p>
    <w:p w14:paraId="37B35DF2" w14:textId="7F2B6AB2"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De estas medidas de protección, se mantuvieron 21, ya sea porque fueron a la audiencia las partes y se valoró el caso, o porque llegaron al año de vigencia. En ningún caso se dispuso valoración psicológica y se constató seguimiento telefónico en 5. En 7 casos se testimoniaron piezas para el Ministerio Público a fin de que investigue posible delito, pero no seguimiento. En los restantes casos, ni siquiera se logró notificar al presunto agresor. En un caso, se dispuso levantamiento de medidas por el transcurso del tiempo. En dos casos consta epicrisis de atención en centro de salud con incapacidades no mayores a 3 días, pero igualmente, no se otorgaron medidas diversas a las señaladas ni se remitió a la víctima a valoración psicológica para determinar la existencia o no de vulnerabilidad cognitiva.</w:t>
      </w:r>
    </w:p>
    <w:p w14:paraId="7727E4F4" w14:textId="22E325BC" w:rsidR="00E10342" w:rsidRDefault="00D31DDB" w:rsidP="00FA3C53">
      <w:pPr>
        <w:pStyle w:val="Standard"/>
        <w:spacing w:after="0" w:line="360" w:lineRule="auto"/>
        <w:ind w:firstLine="709"/>
        <w:jc w:val="both"/>
      </w:pPr>
      <w:r>
        <w:rPr>
          <w:rFonts w:ascii="Times New Roman" w:hAnsi="Times New Roman" w:cs="Times New Roman"/>
          <w:bCs/>
          <w:sz w:val="24"/>
          <w:szCs w:val="24"/>
        </w:rPr>
        <w:t>Importante es indicar que, aunque las solicitantes en los expedientes estudiados refieran sus peticiones al momento de realizar la gestión, estas no son consideradas por la persona juzgadora para su decisión, debido a que se hace la asignación de medidas del artículo 3, según el caso concreto, a criterio de la persona juzgadora, respetando el principio constitucional de independencia judicial, entendido este como que las medidas de protección se dan según el criterio del juez a cargo del expediente sin ninguna presión externa.</w:t>
      </w:r>
    </w:p>
    <w:p w14:paraId="50874EE3" w14:textId="3E04A3CF"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Por otra parte, es frecuente encontrar referencias tales como que lo que las víctimas desean es que el agresor se aleje y que </w:t>
      </w:r>
      <w:r w:rsidR="00F836AD">
        <w:rPr>
          <w:rFonts w:ascii="Times New Roman" w:hAnsi="Times New Roman" w:cs="Times New Roman"/>
          <w:bCs/>
          <w:sz w:val="24"/>
          <w:szCs w:val="24"/>
        </w:rPr>
        <w:t xml:space="preserve">se </w:t>
      </w:r>
      <w:r>
        <w:rPr>
          <w:rFonts w:ascii="Times New Roman" w:hAnsi="Times New Roman" w:cs="Times New Roman"/>
          <w:bCs/>
          <w:sz w:val="24"/>
          <w:szCs w:val="24"/>
        </w:rPr>
        <w:t>les brinden protección. En algunos casos, esto coincide con lo que la persona juzgadora otorga</w:t>
      </w:r>
      <w:r w:rsidR="00FA3C53">
        <w:rPr>
          <w:rFonts w:ascii="Times New Roman" w:hAnsi="Times New Roman" w:cs="Times New Roman"/>
          <w:bCs/>
          <w:sz w:val="24"/>
          <w:szCs w:val="24"/>
        </w:rPr>
        <w:t>.</w:t>
      </w:r>
    </w:p>
    <w:p w14:paraId="442CC03F" w14:textId="48BBFFD8" w:rsidR="00E10342" w:rsidRDefault="001768B3" w:rsidP="00DB37B4">
      <w:pPr>
        <w:pStyle w:val="Standard"/>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31DDB">
        <w:rPr>
          <w:rFonts w:ascii="Times New Roman" w:hAnsi="Times New Roman" w:cs="Times New Roman"/>
          <w:bCs/>
          <w:sz w:val="24"/>
          <w:szCs w:val="24"/>
        </w:rPr>
        <w:t>Se destaca además que la mayor parte del tiempo es el técnico quien toma la manifestación y, si bien la persona juzgadora indica las medidas a otorgar, pocas veces se tiene contacto entre la persona juzgadora y la</w:t>
      </w:r>
      <w:r w:rsidR="005A2F6D">
        <w:rPr>
          <w:rFonts w:ascii="Times New Roman" w:hAnsi="Times New Roman" w:cs="Times New Roman"/>
          <w:bCs/>
          <w:sz w:val="24"/>
          <w:szCs w:val="24"/>
        </w:rPr>
        <w:t xml:space="preserve"> persona solicitante</w:t>
      </w:r>
      <w:r w:rsidR="008E46EF">
        <w:rPr>
          <w:rFonts w:ascii="Times New Roman" w:hAnsi="Times New Roman" w:cs="Times New Roman"/>
          <w:bCs/>
          <w:sz w:val="24"/>
          <w:szCs w:val="24"/>
        </w:rPr>
        <w:t>. Lo anterior debido al sistema de atención usuaria implementado en el sistema judicial, consistente en que es el técnico judicial quien recibe al usuario, atiende sus dudas, transcribe y consulta a la persona juzgadora. Siendo en muy pocas ocasiones que la persona usuaria es atendida de forma directa por a la persona juzgadora. Lo anterior hace que l</w:t>
      </w:r>
      <w:r w:rsidR="00D31DDB">
        <w:rPr>
          <w:rFonts w:ascii="Times New Roman" w:hAnsi="Times New Roman" w:cs="Times New Roman"/>
          <w:bCs/>
          <w:sz w:val="24"/>
          <w:szCs w:val="24"/>
        </w:rPr>
        <w:t xml:space="preserve">a </w:t>
      </w:r>
      <w:proofErr w:type="gramStart"/>
      <w:r w:rsidR="00D31DDB">
        <w:rPr>
          <w:rFonts w:ascii="Times New Roman" w:hAnsi="Times New Roman" w:cs="Times New Roman"/>
          <w:bCs/>
          <w:sz w:val="24"/>
          <w:szCs w:val="24"/>
        </w:rPr>
        <w:t>sensibilidad</w:t>
      </w:r>
      <w:proofErr w:type="gramEnd"/>
      <w:r w:rsidR="008E46EF">
        <w:rPr>
          <w:rFonts w:ascii="Times New Roman" w:hAnsi="Times New Roman" w:cs="Times New Roman"/>
          <w:bCs/>
          <w:sz w:val="24"/>
          <w:szCs w:val="24"/>
        </w:rPr>
        <w:t xml:space="preserve"> así como el conocimiento </w:t>
      </w:r>
      <w:r w:rsidR="00D31DDB">
        <w:rPr>
          <w:rFonts w:ascii="Times New Roman" w:hAnsi="Times New Roman" w:cs="Times New Roman"/>
          <w:bCs/>
          <w:sz w:val="24"/>
          <w:szCs w:val="24"/>
        </w:rPr>
        <w:t>que posea el técnico y la persona juzgadora</w:t>
      </w:r>
      <w:r w:rsidR="008E46EF">
        <w:rPr>
          <w:rFonts w:ascii="Times New Roman" w:hAnsi="Times New Roman" w:cs="Times New Roman"/>
          <w:bCs/>
          <w:sz w:val="24"/>
          <w:szCs w:val="24"/>
        </w:rPr>
        <w:t xml:space="preserve"> </w:t>
      </w:r>
      <w:r w:rsidR="00D31DDB">
        <w:rPr>
          <w:rFonts w:ascii="Times New Roman" w:hAnsi="Times New Roman" w:cs="Times New Roman"/>
          <w:bCs/>
          <w:sz w:val="24"/>
          <w:szCs w:val="24"/>
        </w:rPr>
        <w:t>hacia la materia a tratar</w:t>
      </w:r>
      <w:r w:rsidR="008E46EF">
        <w:rPr>
          <w:rFonts w:ascii="Times New Roman" w:hAnsi="Times New Roman" w:cs="Times New Roman"/>
          <w:bCs/>
          <w:sz w:val="24"/>
          <w:szCs w:val="24"/>
        </w:rPr>
        <w:t xml:space="preserve"> incida de alguna</w:t>
      </w:r>
      <w:r>
        <w:rPr>
          <w:rFonts w:ascii="Times New Roman" w:hAnsi="Times New Roman" w:cs="Times New Roman"/>
          <w:bCs/>
          <w:sz w:val="24"/>
          <w:szCs w:val="24"/>
        </w:rPr>
        <w:t xml:space="preserve"> </w:t>
      </w:r>
      <w:r w:rsidR="008E46EF">
        <w:rPr>
          <w:rFonts w:ascii="Times New Roman" w:hAnsi="Times New Roman" w:cs="Times New Roman"/>
          <w:bCs/>
          <w:sz w:val="24"/>
          <w:szCs w:val="24"/>
        </w:rPr>
        <w:t>forma</w:t>
      </w:r>
      <w:r>
        <w:rPr>
          <w:rFonts w:ascii="Times New Roman" w:hAnsi="Times New Roman" w:cs="Times New Roman"/>
          <w:bCs/>
          <w:sz w:val="24"/>
          <w:szCs w:val="24"/>
        </w:rPr>
        <w:t xml:space="preserve"> </w:t>
      </w:r>
      <w:r w:rsidR="00D31DDB">
        <w:rPr>
          <w:rFonts w:ascii="Times New Roman" w:hAnsi="Times New Roman" w:cs="Times New Roman"/>
          <w:bCs/>
          <w:sz w:val="24"/>
          <w:szCs w:val="24"/>
        </w:rPr>
        <w:t>en las medidas</w:t>
      </w:r>
      <w:r w:rsidR="008E46EF">
        <w:rPr>
          <w:rFonts w:ascii="Times New Roman" w:hAnsi="Times New Roman" w:cs="Times New Roman"/>
          <w:bCs/>
          <w:sz w:val="24"/>
          <w:szCs w:val="24"/>
        </w:rPr>
        <w:t xml:space="preserve"> que se brinda así como </w:t>
      </w:r>
      <w:r w:rsidR="00D31DDB">
        <w:rPr>
          <w:rFonts w:ascii="Times New Roman" w:hAnsi="Times New Roman" w:cs="Times New Roman"/>
          <w:bCs/>
          <w:sz w:val="24"/>
          <w:szCs w:val="24"/>
        </w:rPr>
        <w:t>su abordaje.</w:t>
      </w:r>
    </w:p>
    <w:p w14:paraId="03D7FC58" w14:textId="4DD6D61E" w:rsidR="00E10342" w:rsidRDefault="00D31DDB" w:rsidP="00FA3C53">
      <w:pPr>
        <w:pStyle w:val="Standard"/>
        <w:spacing w:after="0" w:line="360" w:lineRule="auto"/>
        <w:ind w:firstLine="709"/>
        <w:jc w:val="both"/>
        <w:rPr>
          <w:rFonts w:ascii="Times New Roman" w:hAnsi="Times New Roman" w:cs="Times New Roman"/>
          <w:bCs/>
          <w:sz w:val="24"/>
          <w:szCs w:val="24"/>
        </w:rPr>
      </w:pPr>
      <w:r w:rsidRPr="00333D21">
        <w:rPr>
          <w:rFonts w:ascii="Times New Roman" w:hAnsi="Times New Roman" w:cs="Times New Roman"/>
          <w:bCs/>
          <w:sz w:val="24"/>
          <w:szCs w:val="24"/>
        </w:rPr>
        <w:t>En ninguno de los expedientes estudiados se consideró otorgar el inciso L de la Ley Contra la Violencia Intrafamiliar como medida de protección,</w:t>
      </w:r>
      <w:r w:rsidR="008F463A" w:rsidRPr="00333D21">
        <w:rPr>
          <w:rFonts w:ascii="Times New Roman" w:hAnsi="Times New Roman" w:cs="Times New Roman"/>
          <w:bCs/>
          <w:sz w:val="24"/>
          <w:szCs w:val="24"/>
        </w:rPr>
        <w:t xml:space="preserve"> </w:t>
      </w:r>
      <w:r w:rsidR="003E0B15" w:rsidRPr="00333D21">
        <w:rPr>
          <w:rFonts w:ascii="Times New Roman" w:hAnsi="Times New Roman" w:cs="Times New Roman"/>
          <w:bCs/>
          <w:sz w:val="24"/>
          <w:szCs w:val="24"/>
        </w:rPr>
        <w:t xml:space="preserve">el mismo </w:t>
      </w:r>
      <w:r w:rsidR="008F463A" w:rsidRPr="00333D21">
        <w:rPr>
          <w:rFonts w:ascii="Times New Roman" w:hAnsi="Times New Roman" w:cs="Times New Roman"/>
          <w:bCs/>
          <w:sz w:val="24"/>
          <w:szCs w:val="24"/>
        </w:rPr>
        <w:t xml:space="preserve">dispone el otorgamiento de cuota alimentaria provisional, </w:t>
      </w:r>
      <w:r w:rsidRPr="00333D21">
        <w:rPr>
          <w:rFonts w:ascii="Times New Roman" w:hAnsi="Times New Roman" w:cs="Times New Roman"/>
          <w:bCs/>
          <w:sz w:val="24"/>
          <w:szCs w:val="24"/>
        </w:rPr>
        <w:t xml:space="preserve">pese a ser la dependencia económica el estado de vulnerabilidad cognitiva más representativo, el cual pareciera incidir en que las mujeres víctimas permanezcan al lado de su agresor a dedicarse la mayoría a los oficios domésticos y con descendencia (la mayoría, con </w:t>
      </w:r>
      <w:r w:rsidR="00F836AD" w:rsidRPr="00333D21">
        <w:rPr>
          <w:rFonts w:ascii="Times New Roman" w:hAnsi="Times New Roman" w:cs="Times New Roman"/>
          <w:bCs/>
          <w:sz w:val="24"/>
          <w:szCs w:val="24"/>
        </w:rPr>
        <w:t>dos</w:t>
      </w:r>
      <w:r w:rsidRPr="00333D21">
        <w:rPr>
          <w:rFonts w:ascii="Times New Roman" w:hAnsi="Times New Roman" w:cs="Times New Roman"/>
          <w:bCs/>
          <w:sz w:val="24"/>
          <w:szCs w:val="24"/>
        </w:rPr>
        <w:t xml:space="preserve"> hijos o hijas).</w:t>
      </w:r>
    </w:p>
    <w:p w14:paraId="0FF86C13" w14:textId="77777777"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En este sentido, es importante rescatar lo siguiente:</w:t>
      </w:r>
    </w:p>
    <w:p w14:paraId="4856DFE8" w14:textId="77777777" w:rsidR="00E10342" w:rsidRDefault="00D31DDB" w:rsidP="00FA3C53">
      <w:pPr>
        <w:pStyle w:val="Standard"/>
        <w:spacing w:after="0" w:line="360" w:lineRule="auto"/>
        <w:ind w:left="709"/>
        <w:jc w:val="both"/>
      </w:pPr>
      <w:r>
        <w:rPr>
          <w:rFonts w:ascii="Times New Roman" w:hAnsi="Times New Roman" w:cs="Times New Roman"/>
          <w:bCs/>
          <w:sz w:val="24"/>
          <w:szCs w:val="24"/>
        </w:rPr>
        <w:t xml:space="preserve">Inciso l). Fijar una obligación alimentaria provisional en favor de la presunta víctima y de los demás dependientes que corresponda, de conformidad con la Ley de pensiones alimentarias, N.º 7654, aun cuando no se cuente con documento idóneo que acredite el grado de parentesco. Una vez fijada, de oficio, se testimoniarán piezas y se remitirán a la autoridad judicial correspondiente. m) Disponer el embargo preventivo, por un plazo máximo de tres meses, contado a partir de la fecha en que se ejecute la resolución que lo ordene, sobre la casa de habitación familiar y sobre los bienes de la presunta persona agresora necesarios para respaldar la obligación alimentaria en favor de la persona agredida y los dependientes que corresponda, de conformidad con la ley; dicho plazo podrá ser prorrogado por la jueza o el juez cuando razonablemente las circunstancias lo ameriten. Para aplicar esta medida, no </w:t>
      </w:r>
      <w:r>
        <w:rPr>
          <w:rFonts w:ascii="Times New Roman" w:hAnsi="Times New Roman" w:cs="Times New Roman"/>
          <w:bCs/>
          <w:sz w:val="24"/>
          <w:szCs w:val="24"/>
        </w:rPr>
        <w:lastRenderedPageBreak/>
        <w:t>será necesario ningún depósito de garantía ni el pago de honorarios ni de otros gastos</w:t>
      </w:r>
      <w:r>
        <w:rPr>
          <w:rFonts w:ascii="Times New Roman" w:hAnsi="Times New Roman" w:cs="Times New Roman"/>
          <w:b/>
          <w:bCs/>
          <w:sz w:val="24"/>
          <w:szCs w:val="24"/>
        </w:rPr>
        <w:t>. (</w:t>
      </w:r>
      <w:r>
        <w:rPr>
          <w:rFonts w:ascii="Times New Roman" w:hAnsi="Times New Roman" w:cs="Times New Roman"/>
          <w:bCs/>
          <w:sz w:val="24"/>
          <w:szCs w:val="24"/>
        </w:rPr>
        <w:t>Ley N.º 7586)</w:t>
      </w:r>
    </w:p>
    <w:p w14:paraId="47D89A4D" w14:textId="7739C766"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En relación con lo anterior, las ocasiones en que la presunta víctima gestionó medidas de protección se muestran en el siguiente gráfico:</w:t>
      </w:r>
    </w:p>
    <w:p w14:paraId="71C2F5E8" w14:textId="5D6F309B" w:rsidR="00CE1426" w:rsidRPr="00CE1426" w:rsidRDefault="009C7BE7" w:rsidP="009C7BE7">
      <w:pPr>
        <w:pStyle w:val="Descripcin"/>
        <w:spacing w:after="0" w:line="360" w:lineRule="auto"/>
        <w:rPr>
          <w:rFonts w:ascii="Times New Roman" w:hAnsi="Times New Roman" w:cs="Times New Roman"/>
          <w:b/>
          <w:bCs/>
          <w:i w:val="0"/>
          <w:iCs w:val="0"/>
          <w:color w:val="000000" w:themeColor="text1"/>
          <w:sz w:val="24"/>
          <w:szCs w:val="24"/>
        </w:rPr>
      </w:pPr>
      <w:bookmarkStart w:id="370" w:name="_Toc62481529"/>
      <w:r w:rsidRPr="00CE1426">
        <w:rPr>
          <w:rFonts w:ascii="Times New Roman" w:hAnsi="Times New Roman" w:cs="Times New Roman"/>
          <w:b/>
          <w:bCs/>
          <w:i w:val="0"/>
          <w:iCs w:val="0"/>
          <w:color w:val="000000" w:themeColor="text1"/>
          <w:sz w:val="24"/>
          <w:szCs w:val="24"/>
        </w:rPr>
        <w:t xml:space="preserve">Gráfico </w:t>
      </w:r>
      <w:r w:rsidRPr="00CE1426">
        <w:rPr>
          <w:rFonts w:ascii="Times New Roman" w:hAnsi="Times New Roman" w:cs="Times New Roman"/>
          <w:b/>
          <w:bCs/>
          <w:i w:val="0"/>
          <w:iCs w:val="0"/>
          <w:color w:val="000000" w:themeColor="text1"/>
          <w:sz w:val="24"/>
          <w:szCs w:val="24"/>
        </w:rPr>
        <w:fldChar w:fldCharType="begin"/>
      </w:r>
      <w:r w:rsidRPr="00CE1426">
        <w:rPr>
          <w:rFonts w:ascii="Times New Roman" w:hAnsi="Times New Roman" w:cs="Times New Roman"/>
          <w:b/>
          <w:bCs/>
          <w:i w:val="0"/>
          <w:iCs w:val="0"/>
          <w:color w:val="000000" w:themeColor="text1"/>
          <w:sz w:val="24"/>
          <w:szCs w:val="24"/>
        </w:rPr>
        <w:instrText xml:space="preserve"> SEQ Gráfico \* ARABIC </w:instrText>
      </w:r>
      <w:r w:rsidRPr="00CE1426">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9</w:t>
      </w:r>
      <w:r w:rsidRPr="00CE1426">
        <w:rPr>
          <w:rFonts w:ascii="Times New Roman" w:hAnsi="Times New Roman" w:cs="Times New Roman"/>
          <w:b/>
          <w:bCs/>
          <w:i w:val="0"/>
          <w:iCs w:val="0"/>
          <w:color w:val="000000" w:themeColor="text1"/>
          <w:sz w:val="24"/>
          <w:szCs w:val="24"/>
        </w:rPr>
        <w:fldChar w:fldCharType="end"/>
      </w:r>
      <w:r w:rsidRPr="00CE1426">
        <w:rPr>
          <w:rFonts w:ascii="Times New Roman" w:hAnsi="Times New Roman" w:cs="Times New Roman"/>
          <w:b/>
          <w:bCs/>
          <w:i w:val="0"/>
          <w:iCs w:val="0"/>
          <w:color w:val="000000" w:themeColor="text1"/>
          <w:sz w:val="24"/>
          <w:szCs w:val="24"/>
        </w:rPr>
        <w:t xml:space="preserve">. </w:t>
      </w:r>
    </w:p>
    <w:p w14:paraId="7EA396E0" w14:textId="1C793A6C" w:rsidR="00FA3C53" w:rsidRPr="009C7BE7" w:rsidRDefault="009C7BE7" w:rsidP="009C7BE7">
      <w:pPr>
        <w:pStyle w:val="Descripcin"/>
        <w:spacing w:after="0" w:line="360" w:lineRule="auto"/>
        <w:rPr>
          <w:rFonts w:ascii="Times New Roman" w:hAnsi="Times New Roman" w:cs="Times New Roman"/>
          <w:b/>
          <w:bCs/>
          <w:color w:val="000000" w:themeColor="text1"/>
          <w:sz w:val="40"/>
          <w:szCs w:val="40"/>
        </w:rPr>
      </w:pPr>
      <w:r w:rsidRPr="009C7BE7">
        <w:rPr>
          <w:rFonts w:ascii="Times New Roman" w:hAnsi="Times New Roman" w:cs="Times New Roman"/>
          <w:b/>
          <w:bCs/>
          <w:color w:val="000000" w:themeColor="text1"/>
          <w:sz w:val="24"/>
          <w:szCs w:val="24"/>
        </w:rPr>
        <w:t>Ocasiones en que la Presunta Víctima Gestionó Medidas de Protección</w:t>
      </w:r>
      <w:bookmarkEnd w:id="370"/>
    </w:p>
    <w:p w14:paraId="5BA45FB3" w14:textId="1565C85A" w:rsidR="00E10342" w:rsidRDefault="0082240E" w:rsidP="009C7BE7">
      <w:pPr>
        <w:pStyle w:val="Standard"/>
        <w:spacing w:after="0" w:line="360" w:lineRule="auto"/>
        <w:jc w:val="both"/>
        <w:rPr>
          <w:rFonts w:ascii="Times New Roman" w:hAnsi="Times New Roman" w:cs="Times New Roman"/>
          <w:bCs/>
          <w:sz w:val="24"/>
          <w:szCs w:val="24"/>
        </w:rPr>
      </w:pPr>
      <w:r w:rsidRPr="00441763">
        <w:rPr>
          <w:rFonts w:ascii="Times New Roman" w:hAnsi="Times New Roman" w:cs="Times New Roman"/>
          <w:bCs/>
          <w:noProof/>
          <w:sz w:val="24"/>
          <w:szCs w:val="24"/>
          <w:lang w:eastAsia="es-CR"/>
        </w:rPr>
        <w:drawing>
          <wp:inline distT="0" distB="0" distL="0" distR="0" wp14:anchorId="4C5AFA2D" wp14:editId="593C664A">
            <wp:extent cx="5486400" cy="3200400"/>
            <wp:effectExtent l="0" t="0" r="0" b="0"/>
            <wp:docPr id="45" name="Gráfico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0FB516C2" w14:textId="35975BA4" w:rsidR="00E10342" w:rsidRDefault="00D31DDB">
      <w:pPr>
        <w:pStyle w:val="Standard"/>
        <w:spacing w:line="240" w:lineRule="auto"/>
        <w:jc w:val="both"/>
      </w:pPr>
      <w:r>
        <w:rPr>
          <w:rFonts w:ascii="Times New Roman" w:hAnsi="Times New Roman" w:cs="Times New Roman"/>
          <w:bCs/>
          <w:iCs/>
          <w:sz w:val="24"/>
          <w:szCs w:val="24"/>
        </w:rPr>
        <w:t>Fuente:</w:t>
      </w:r>
      <w:r>
        <w:rPr>
          <w:rFonts w:ascii="Times New Roman" w:hAnsi="Times New Roman" w:cs="Times New Roman"/>
          <w:bCs/>
          <w:i/>
          <w:iCs/>
          <w:sz w:val="24"/>
          <w:szCs w:val="24"/>
        </w:rPr>
        <w:t xml:space="preserve"> </w:t>
      </w:r>
      <w:r>
        <w:rPr>
          <w:rFonts w:ascii="Times New Roman" w:hAnsi="Times New Roman" w:cs="Times New Roman"/>
          <w:bCs/>
          <w:iCs/>
          <w:sz w:val="24"/>
          <w:szCs w:val="24"/>
        </w:rPr>
        <w:t>elaboración propia (2020).</w:t>
      </w:r>
    </w:p>
    <w:p w14:paraId="1CF41A38" w14:textId="0EA1DDD1"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Importante es destacar que, pese a que, al momento de tomar la manifestación de solicitud de medidas, se indaga sobre la reincidencia de las presuntas víctimas de violencia intrafamiliar, lo cierto del caso es que este no pasa de ser un dato, ya que no se considera para nada más dentro del proceso judicial.</w:t>
      </w:r>
    </w:p>
    <w:p w14:paraId="5B9EA637" w14:textId="4AC6B008" w:rsidR="00E10342" w:rsidRDefault="00D31DDB" w:rsidP="00FA3C5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Esta fue la norma en los 30 expedientes revisados y estudiados para este TFG, pues no se encontró utilización para darle un abordaje distinto o de trámite preferente. De hecho, no se encuentra algún dato que indique si la situación de V. I. es con la misma persona agresora o con otra, ni si la anterior es reciente o no y, por ende, no existe un cruce o referencia en el expediente que nos diga que la persona juzgadora considerara de forma alguna la situación de la persona solicitante, tal como revisar el expediente o considerar ordenar alguna pericia forense que le haga saber más datos y saber si se </w:t>
      </w:r>
      <w:r w:rsidR="00F836AD">
        <w:rPr>
          <w:rFonts w:ascii="Times New Roman" w:hAnsi="Times New Roman" w:cs="Times New Roman"/>
          <w:bCs/>
          <w:sz w:val="24"/>
          <w:szCs w:val="24"/>
        </w:rPr>
        <w:t>identifica</w:t>
      </w:r>
      <w:r>
        <w:rPr>
          <w:rFonts w:ascii="Times New Roman" w:hAnsi="Times New Roman" w:cs="Times New Roman"/>
          <w:bCs/>
          <w:sz w:val="24"/>
          <w:szCs w:val="24"/>
        </w:rPr>
        <w:t xml:space="preserve"> algún tipo de vulnerabilidad que le impida a esta mujer cerrar ciclos; o remitirla a alguna institución </w:t>
      </w:r>
      <w:r>
        <w:rPr>
          <w:rFonts w:ascii="Times New Roman" w:hAnsi="Times New Roman" w:cs="Times New Roman"/>
          <w:bCs/>
          <w:sz w:val="24"/>
          <w:szCs w:val="24"/>
        </w:rPr>
        <w:lastRenderedPageBreak/>
        <w:t>pública para un abordaje integral, pese a la existencia de redes de apoyo como el INAMU, el Instituto Mixto de Ayuda Social (IMAS), municipalidades, oficinas de las mujeres, la Fuerza Pública, el Patronato Nacional de la Infancia (PANI), entre otros.</w:t>
      </w:r>
    </w:p>
    <w:p w14:paraId="705B7DF2" w14:textId="3813656C" w:rsidR="00E10342" w:rsidRDefault="00D31DDB" w:rsidP="00FA3C53">
      <w:pPr>
        <w:pStyle w:val="Standard"/>
        <w:spacing w:after="0" w:line="360" w:lineRule="auto"/>
        <w:ind w:firstLine="709"/>
        <w:jc w:val="both"/>
      </w:pPr>
      <w:r>
        <w:rPr>
          <w:rFonts w:ascii="Times New Roman" w:hAnsi="Times New Roman" w:cs="Times New Roman"/>
          <w:bCs/>
          <w:sz w:val="24"/>
          <w:szCs w:val="24"/>
        </w:rPr>
        <w:t>Pareciera que lo señalado no es importante y lo que interesa es dar medidas de protección sin detenerse a analizar las ocasiones en que se presente la persona solicitante.</w:t>
      </w:r>
      <w:r w:rsidR="005F159A">
        <w:rPr>
          <w:rFonts w:ascii="Times New Roman" w:hAnsi="Times New Roman" w:cs="Times New Roman"/>
          <w:bCs/>
          <w:sz w:val="24"/>
          <w:szCs w:val="24"/>
        </w:rPr>
        <w:t xml:space="preserve"> </w:t>
      </w:r>
      <w:r>
        <w:rPr>
          <w:rFonts w:ascii="Times New Roman" w:hAnsi="Times New Roman" w:cs="Times New Roman"/>
          <w:bCs/>
          <w:sz w:val="24"/>
          <w:szCs w:val="24"/>
        </w:rPr>
        <w:t>Con eso, aparentemente se cumple el principio constitucional de acceso a la justicia y un requisito estadístico únicamente, porque tampoco se comunica a la oficina de Género del Poder Judicial.</w:t>
      </w:r>
      <w:r w:rsidR="005F159A">
        <w:rPr>
          <w:rFonts w:ascii="Times New Roman" w:hAnsi="Times New Roman" w:cs="Times New Roman"/>
          <w:bCs/>
          <w:sz w:val="24"/>
          <w:szCs w:val="24"/>
        </w:rPr>
        <w:t xml:space="preserve"> </w:t>
      </w:r>
    </w:p>
    <w:p w14:paraId="00FB9152" w14:textId="3911D2C6" w:rsidR="00E10342" w:rsidRDefault="00D31DDB" w:rsidP="00AA4E3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Dentro de las 10 entrevistas efectuadas a personeros del Juzgado Contra la Violencia Doméstica del II Circuito Judicial de San José, entre los que se encuentran técnicos judiciales, personas juzgadoras, trabajadores sociales y psicológicos, se tienen los siguientes hallazgos:</w:t>
      </w:r>
    </w:p>
    <w:p w14:paraId="4E02B98D" w14:textId="45E11BD5" w:rsidR="00E10342" w:rsidRDefault="00D31DDB" w:rsidP="00AA4E33">
      <w:pPr>
        <w:pStyle w:val="Prrafodelista"/>
        <w:numPr>
          <w:ilvl w:val="0"/>
          <w:numId w:val="34"/>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Ante las preguntas de cómo se definen las habilidades cognitivas y sus aspectos, </w:t>
      </w:r>
      <w:r w:rsidR="00F836AD">
        <w:rPr>
          <w:rFonts w:ascii="Times New Roman" w:hAnsi="Times New Roman" w:cs="Times New Roman"/>
          <w:bCs/>
          <w:sz w:val="24"/>
          <w:szCs w:val="24"/>
        </w:rPr>
        <w:t>ocho</w:t>
      </w:r>
      <w:r>
        <w:rPr>
          <w:rFonts w:ascii="Times New Roman" w:hAnsi="Times New Roman" w:cs="Times New Roman"/>
          <w:bCs/>
          <w:sz w:val="24"/>
          <w:szCs w:val="24"/>
        </w:rPr>
        <w:t xml:space="preserve"> personas entrevistadas lograron un acercamiento a la definición de habilidad cognitiva, pues hicieron alusión a procesos mentales que permiten el desempeño óptimo de actividades de la vida diaria, desde las simples hasta las complejas; conocimientos que se van adquiriendo, destrezas del ser humano, herramientas para desarrollarse, conocimientos para tomar decisiones, posibilidad de actuar de las personas según su realidad, adaptación, habilidad para analizar y adaptase al entorno. Asimismo, </w:t>
      </w:r>
      <w:r w:rsidR="00F836AD">
        <w:rPr>
          <w:rFonts w:ascii="Times New Roman" w:hAnsi="Times New Roman" w:cs="Times New Roman"/>
          <w:bCs/>
          <w:sz w:val="24"/>
          <w:szCs w:val="24"/>
        </w:rPr>
        <w:t>dos</w:t>
      </w:r>
      <w:r>
        <w:rPr>
          <w:rFonts w:ascii="Times New Roman" w:hAnsi="Times New Roman" w:cs="Times New Roman"/>
          <w:bCs/>
          <w:sz w:val="24"/>
          <w:szCs w:val="24"/>
        </w:rPr>
        <w:t xml:space="preserve"> personas entrevistadas no lograron aproximarse a la definición: una no la sabía y la otra hizo alusión a coeficiente intelectual para interpretar el entorno.</w:t>
      </w:r>
    </w:p>
    <w:p w14:paraId="599529FE" w14:textId="60E119CA" w:rsidR="00E10342" w:rsidRDefault="00D31DDB" w:rsidP="00AA4E33">
      <w:pPr>
        <w:pStyle w:val="Prrafodelista"/>
        <w:numPr>
          <w:ilvl w:val="0"/>
          <w:numId w:val="17"/>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Respecto a la interrogante acerca de si resulta útil o necesario el conocimiento al momento de abordar presuntas o víctimas de violencia intrafamiliar, para</w:t>
      </w:r>
      <w:r w:rsidR="005F159A">
        <w:rPr>
          <w:rFonts w:ascii="Times New Roman" w:hAnsi="Times New Roman" w:cs="Times New Roman"/>
          <w:bCs/>
          <w:sz w:val="24"/>
          <w:szCs w:val="24"/>
        </w:rPr>
        <w:t xml:space="preserve"> </w:t>
      </w:r>
      <w:r>
        <w:rPr>
          <w:rFonts w:ascii="Times New Roman" w:hAnsi="Times New Roman" w:cs="Times New Roman"/>
          <w:bCs/>
          <w:sz w:val="24"/>
          <w:szCs w:val="24"/>
        </w:rPr>
        <w:t>diez de las personas entrevistadas sí lo es; sin embrago, al preguntar sobre los motivos de este interés, se obtiene que no conocen sobre el fondo de la materia abordada debido a que, en realidad, confunden vulnerabilidad cognitiva con</w:t>
      </w:r>
      <w:r w:rsidR="005F159A">
        <w:rPr>
          <w:rFonts w:ascii="Times New Roman" w:hAnsi="Times New Roman" w:cs="Times New Roman"/>
          <w:bCs/>
          <w:sz w:val="24"/>
          <w:szCs w:val="24"/>
        </w:rPr>
        <w:t xml:space="preserve"> </w:t>
      </w:r>
      <w:r>
        <w:rPr>
          <w:rFonts w:ascii="Times New Roman" w:hAnsi="Times New Roman" w:cs="Times New Roman"/>
          <w:bCs/>
          <w:sz w:val="24"/>
          <w:szCs w:val="24"/>
        </w:rPr>
        <w:t>capacidad cognitiva y discapacidad intelectual. Esto refleja que en realidad no conocen sobre lo que implica la vulnerabilidad cognitiva; de ahí que las valoraciones están direccionadas a los agresores para saber si comprenden los alcances del proceso y las medidas impuestas, mas no se valora a las víctimas.</w:t>
      </w:r>
    </w:p>
    <w:p w14:paraId="4A78DD6C" w14:textId="55BA0888" w:rsidR="00E10342" w:rsidRDefault="00D31DDB" w:rsidP="00AA4E33">
      <w:pPr>
        <w:pStyle w:val="Prrafodelista"/>
        <w:numPr>
          <w:ilvl w:val="0"/>
          <w:numId w:val="17"/>
        </w:numPr>
        <w:tabs>
          <w:tab w:val="left" w:pos="993"/>
        </w:tabs>
        <w:spacing w:after="0" w:line="360" w:lineRule="auto"/>
        <w:ind w:left="0" w:firstLine="709"/>
        <w:jc w:val="both"/>
      </w:pPr>
      <w:r>
        <w:rPr>
          <w:rFonts w:ascii="Times New Roman" w:hAnsi="Times New Roman" w:cs="Times New Roman"/>
          <w:bCs/>
          <w:sz w:val="24"/>
          <w:szCs w:val="24"/>
        </w:rPr>
        <w:t xml:space="preserve">Por su parte, ante la interrogante de si las habilidades cognitivas pueden ser alteradas de forma alguna, se encuentra que tres de las personas entrevistadas se acercan, </w:t>
      </w:r>
      <w:r>
        <w:rPr>
          <w:rFonts w:ascii="Times New Roman" w:hAnsi="Times New Roman" w:cs="Times New Roman"/>
          <w:bCs/>
          <w:sz w:val="24"/>
          <w:szCs w:val="24"/>
        </w:rPr>
        <w:lastRenderedPageBreak/>
        <w:t>aunque con reservas, ya que hacen referencia a que dicha alteración se produce por emoción violenta, abusos o crisis, depresión, ansiedad, estado del ánimo, consumo de sustancias o medio ambiente.</w:t>
      </w:r>
    </w:p>
    <w:p w14:paraId="19D36482" w14:textId="77777777" w:rsidR="00E10342" w:rsidRDefault="00D31DDB" w:rsidP="00AA4E33">
      <w:pPr>
        <w:pStyle w:val="Standard"/>
        <w:spacing w:after="0" w:line="360" w:lineRule="auto"/>
        <w:ind w:firstLine="709"/>
        <w:jc w:val="both"/>
      </w:pPr>
      <w:r>
        <w:rPr>
          <w:rFonts w:ascii="Times New Roman" w:hAnsi="Times New Roman" w:cs="Times New Roman"/>
          <w:bCs/>
          <w:sz w:val="24"/>
          <w:szCs w:val="24"/>
        </w:rPr>
        <w:t xml:space="preserve">Lo anterior deja en evidencia la falta de conocimiento en el tema a tratar, además, porque entre los motivos que alegan son enfermedades, paso del tiempo, memoria, padecimiento psiquiátrico, manipulación, disimulo y negación de la realidad, reiterando que estos se asocian con discapacidad intelectual. De igual manera, con respecto a es al agresor a quien debe realizarse pericia forense y nunca a la víctima de V. I. Se continúa favoreciendo al agresor con la duda, lo que en materia penal se conoce como </w:t>
      </w:r>
      <w:proofErr w:type="spellStart"/>
      <w:r>
        <w:rPr>
          <w:rFonts w:ascii="Times New Roman" w:hAnsi="Times New Roman" w:cs="Times New Roman"/>
          <w:bCs/>
          <w:i/>
          <w:sz w:val="24"/>
          <w:szCs w:val="24"/>
        </w:rPr>
        <w:t>indubio</w:t>
      </w:r>
      <w:proofErr w:type="spellEnd"/>
      <w:r>
        <w:rPr>
          <w:rFonts w:ascii="Times New Roman" w:hAnsi="Times New Roman" w:cs="Times New Roman"/>
          <w:bCs/>
          <w:sz w:val="24"/>
          <w:szCs w:val="24"/>
        </w:rPr>
        <w:t xml:space="preserve"> </w:t>
      </w:r>
      <w:proofErr w:type="gramStart"/>
      <w:r>
        <w:rPr>
          <w:rFonts w:ascii="Times New Roman" w:hAnsi="Times New Roman" w:cs="Times New Roman"/>
          <w:bCs/>
          <w:i/>
          <w:sz w:val="24"/>
          <w:szCs w:val="24"/>
        </w:rPr>
        <w:t>pro reo</w:t>
      </w:r>
      <w:proofErr w:type="gramEnd"/>
      <w:r>
        <w:rPr>
          <w:rFonts w:ascii="Times New Roman" w:hAnsi="Times New Roman" w:cs="Times New Roman"/>
          <w:bCs/>
          <w:sz w:val="24"/>
          <w:szCs w:val="24"/>
        </w:rPr>
        <w:t xml:space="preserve"> o, en este caso, </w:t>
      </w:r>
      <w:proofErr w:type="spellStart"/>
      <w:r>
        <w:rPr>
          <w:rFonts w:ascii="Times New Roman" w:hAnsi="Times New Roman" w:cs="Times New Roman"/>
          <w:bCs/>
          <w:i/>
          <w:sz w:val="24"/>
          <w:szCs w:val="24"/>
        </w:rPr>
        <w:t>indubio</w:t>
      </w:r>
      <w:proofErr w:type="spellEnd"/>
      <w:r>
        <w:rPr>
          <w:rFonts w:ascii="Times New Roman" w:hAnsi="Times New Roman" w:cs="Times New Roman"/>
          <w:bCs/>
          <w:i/>
          <w:sz w:val="24"/>
          <w:szCs w:val="24"/>
        </w:rPr>
        <w:t xml:space="preserve"> pro</w:t>
      </w:r>
      <w:r>
        <w:rPr>
          <w:rFonts w:ascii="Times New Roman" w:hAnsi="Times New Roman" w:cs="Times New Roman"/>
          <w:bCs/>
          <w:sz w:val="24"/>
          <w:szCs w:val="24"/>
        </w:rPr>
        <w:t xml:space="preserve"> agresor; es decir, la duda misma le favorece, lo cual es totalmente contrario a la política de protección a la víctima.</w:t>
      </w:r>
    </w:p>
    <w:p w14:paraId="5DC394C2" w14:textId="77777777" w:rsidR="00E10342" w:rsidRDefault="00D31DDB" w:rsidP="00AA4E33">
      <w:pPr>
        <w:pStyle w:val="Prrafodelista"/>
        <w:numPr>
          <w:ilvl w:val="0"/>
          <w:numId w:val="17"/>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Respecto a si, en una situación de V. I. las habilidades cognitivas pueden ser alteradas, 8 personas entrevistadas indican que sí, y 2 personas entrevistadas indican que hay alteración de la capacidad volitiva.</w:t>
      </w:r>
    </w:p>
    <w:p w14:paraId="332EC5E5" w14:textId="2EAC96C5" w:rsidR="00E10342" w:rsidRDefault="00D31DDB" w:rsidP="00AA4E3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De las ocho personas entrevistadas que contestaron afirmativamente, 4 indican las siguientes razones:</w:t>
      </w:r>
    </w:p>
    <w:p w14:paraId="246ABFDB" w14:textId="77777777" w:rsidR="00E10342" w:rsidRDefault="00D31DDB" w:rsidP="00AA4E33">
      <w:pPr>
        <w:pStyle w:val="Standard"/>
        <w:numPr>
          <w:ilvl w:val="0"/>
          <w:numId w:val="36"/>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Dependencia económica.</w:t>
      </w:r>
    </w:p>
    <w:p w14:paraId="2E4EE9FC" w14:textId="77777777" w:rsidR="00E10342" w:rsidRDefault="00D31DDB" w:rsidP="00AA4E33">
      <w:pPr>
        <w:pStyle w:val="Standard"/>
        <w:numPr>
          <w:ilvl w:val="0"/>
          <w:numId w:val="7"/>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Violencia altera a todo ser humano.</w:t>
      </w:r>
    </w:p>
    <w:p w14:paraId="24732F95" w14:textId="77777777" w:rsidR="00E10342" w:rsidRDefault="00D31DDB" w:rsidP="00AA4E33">
      <w:pPr>
        <w:pStyle w:val="Standard"/>
        <w:numPr>
          <w:ilvl w:val="0"/>
          <w:numId w:val="7"/>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No se piensa con claridad.</w:t>
      </w:r>
    </w:p>
    <w:p w14:paraId="71F52218" w14:textId="77777777" w:rsidR="00E10342" w:rsidRDefault="00D31DDB" w:rsidP="00AA4E33">
      <w:pPr>
        <w:pStyle w:val="Standard"/>
        <w:numPr>
          <w:ilvl w:val="0"/>
          <w:numId w:val="7"/>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Se manipula y la víctima es encuentra con dependencia.</w:t>
      </w:r>
    </w:p>
    <w:p w14:paraId="6429F10C" w14:textId="04E508A8" w:rsidR="00E10342" w:rsidRDefault="00D31DDB" w:rsidP="00AA4E33">
      <w:pPr>
        <w:pStyle w:val="Standard"/>
        <w:spacing w:after="0" w:line="360" w:lineRule="auto"/>
        <w:ind w:firstLine="709"/>
        <w:jc w:val="both"/>
      </w:pPr>
      <w:r>
        <w:rPr>
          <w:rFonts w:ascii="Times New Roman" w:hAnsi="Times New Roman" w:cs="Times New Roman"/>
          <w:bCs/>
          <w:sz w:val="24"/>
          <w:szCs w:val="24"/>
        </w:rPr>
        <w:t>En este punto, es relevante que, pese a que se sabe que las habilidades cognitivas se comprometen ante la violencia intrafamiliar, no existe protocolo de abordaje o pericia aplicable a la víctima, sino únicamente al victimario cuando existe duda acerca de su capacidad cognitiva, de comprensión y de acatamiento de medidas impuestas</w:t>
      </w:r>
      <w:r>
        <w:rPr>
          <w:rFonts w:ascii="Times New Roman" w:hAnsi="Times New Roman" w:cs="Times New Roman"/>
          <w:b/>
          <w:bCs/>
          <w:sz w:val="24"/>
          <w:szCs w:val="24"/>
        </w:rPr>
        <w:t>.</w:t>
      </w:r>
    </w:p>
    <w:p w14:paraId="0855ECA6" w14:textId="5CF3EBB7" w:rsidR="00E10342" w:rsidRDefault="00D31DDB" w:rsidP="00AA4E33">
      <w:pPr>
        <w:pStyle w:val="Standard"/>
        <w:spacing w:after="0" w:line="360" w:lineRule="auto"/>
        <w:ind w:firstLine="709"/>
        <w:jc w:val="both"/>
      </w:pPr>
      <w:r>
        <w:rPr>
          <w:rFonts w:ascii="Times New Roman" w:hAnsi="Times New Roman" w:cs="Times New Roman"/>
          <w:bCs/>
          <w:sz w:val="24"/>
          <w:szCs w:val="24"/>
        </w:rPr>
        <w:t xml:space="preserve">Según la apreciación de las personas entrevistadas, las víctimas de violencia intrafamiliar presentan habilidades cognitivas vulneradas cuando poseen discapacidad intelectual o cuando el discurso no es coherente. Lo anterior evidencia que los entrevistados no difieren entre discapacidad intelectual y vulnerabilidad cognitiva, así como, en su mayoría, no la identifican como algo posible en las víctimas de V. I. Sin embargo, de presentarse, debe ser establecida mediante una pericia forense, de preferencia psicológica. Todo esto es un indicador de la falta de conocimiento sobre la vulnerabilidad cognitiva y </w:t>
      </w:r>
      <w:r>
        <w:rPr>
          <w:rFonts w:ascii="Times New Roman" w:hAnsi="Times New Roman" w:cs="Times New Roman"/>
          <w:bCs/>
          <w:sz w:val="24"/>
          <w:szCs w:val="24"/>
        </w:rPr>
        <w:lastRenderedPageBreak/>
        <w:t>que es viable en víctimas de V. I.; de ahí que no se considere su valoración, aun sin existir discapacidad intelectual, lo cual no es sinónimo.</w:t>
      </w:r>
    </w:p>
    <w:p w14:paraId="636458EB" w14:textId="48153A2C" w:rsidR="00E10342" w:rsidRDefault="00D31DDB" w:rsidP="00AA4E33">
      <w:pPr>
        <w:pStyle w:val="Prrafodelista"/>
        <w:numPr>
          <w:ilvl w:val="0"/>
          <w:numId w:val="18"/>
        </w:numPr>
        <w:tabs>
          <w:tab w:val="left" w:pos="993"/>
        </w:tabs>
        <w:spacing w:after="0" w:line="360" w:lineRule="auto"/>
        <w:ind w:left="0" w:firstLine="709"/>
        <w:jc w:val="both"/>
      </w:pPr>
      <w:r>
        <w:rPr>
          <w:rFonts w:ascii="Times New Roman" w:hAnsi="Times New Roman" w:cs="Times New Roman"/>
          <w:bCs/>
          <w:sz w:val="24"/>
          <w:szCs w:val="24"/>
        </w:rPr>
        <w:t>Con relación a las pericias forenses, como ya se ha indicado, estas no se</w:t>
      </w:r>
      <w:r w:rsidR="005F159A">
        <w:rPr>
          <w:rFonts w:ascii="Times New Roman" w:hAnsi="Times New Roman" w:cs="Times New Roman"/>
          <w:bCs/>
          <w:sz w:val="24"/>
          <w:szCs w:val="24"/>
        </w:rPr>
        <w:t xml:space="preserve"> </w:t>
      </w:r>
      <w:r>
        <w:rPr>
          <w:rFonts w:ascii="Times New Roman" w:hAnsi="Times New Roman" w:cs="Times New Roman"/>
          <w:bCs/>
          <w:sz w:val="24"/>
          <w:szCs w:val="24"/>
        </w:rPr>
        <w:t>efectúan para la determinación de la vulnerabilidad cognitiva en víctimas de V. I., sino únicamente ante duda de existir discapacidad cognitiva y generalmente en agresores, porque se considera que son de quienes debe tenerse conocimiento</w:t>
      </w:r>
      <w:r>
        <w:rPr>
          <w:rFonts w:ascii="Times New Roman" w:hAnsi="Times New Roman" w:cs="Times New Roman"/>
          <w:b/>
          <w:bCs/>
          <w:sz w:val="24"/>
          <w:szCs w:val="24"/>
        </w:rPr>
        <w:t xml:space="preserve"> </w:t>
      </w:r>
      <w:r>
        <w:rPr>
          <w:rFonts w:ascii="Times New Roman" w:hAnsi="Times New Roman" w:cs="Times New Roman"/>
          <w:bCs/>
          <w:sz w:val="24"/>
          <w:szCs w:val="24"/>
        </w:rPr>
        <w:t>si comprenden o no las medidas de protección dictadas en su contra. En consecuencia, así se determina si ellos van a cumplir o no con las medidas en el plazo de un año, dispuesto en la Ley Contra la Violencia Doméstica, y las consecuencias de no cumplir, que es la causa penal.</w:t>
      </w:r>
    </w:p>
    <w:p w14:paraId="1BB42D8E" w14:textId="6C1A3386" w:rsidR="00E10342" w:rsidRDefault="00D31DDB" w:rsidP="00AA4E33">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Según los hallazgos de la investigación, las pericias forenses en los expedientes en estudio tampoco se disponen como parte del seguimiento de verificación de cumplimiento debido a que el seguimiento se efectúo vía telefónica.</w:t>
      </w:r>
    </w:p>
    <w:p w14:paraId="6A444F90" w14:textId="77777777" w:rsidR="00E10342" w:rsidRDefault="00D31DDB" w:rsidP="00AA4E33">
      <w:pPr>
        <w:pStyle w:val="Prrafodelista"/>
        <w:numPr>
          <w:ilvl w:val="0"/>
          <w:numId w:val="1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En los asuntos estudiados en que se detectó peligro de muerte, se hace testimonio de piezas ante el Ministerio Público y ahí se aborda el caso con protección a las víctimas y testigos. De esta forma, el Ministerio Público es quien coordina las valoraciones forenses, así como la protección a las víctimas bajo el Programa de Protección a Víctimas y Testigos. En ninguno de los casos indicados, el Juzgado Contra la Violencia Doméstica tiene acceso, pero no se encontró que el Juzgado dé seguimiento alguno ni con el Ministerio Público ni con la víctima, o por otro medio, por ejemplo, de la Fuerza Pública o visitas en sitio. Igualmente, tampoco se valoran secuelas en víctimas.</w:t>
      </w:r>
    </w:p>
    <w:p w14:paraId="59AD433E" w14:textId="67F59989" w:rsidR="00E10342" w:rsidRPr="00AA4E33" w:rsidRDefault="00D31DDB" w:rsidP="00AA4E33">
      <w:pPr>
        <w:pStyle w:val="Prrafodelista"/>
        <w:numPr>
          <w:ilvl w:val="0"/>
          <w:numId w:val="1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 xml:space="preserve">Al preguntar cómo se determina la vulnerabilidad cognitiva, siete de las personas entrevistadas indican desconocerlo; dos indican que lo que se altera es la capacidad cognitiva; y una indica que las pruebas son para la capacidad cognitiva, por eso se hace pericia </w:t>
      </w:r>
      <w:r w:rsidR="00D23BC2">
        <w:rPr>
          <w:rFonts w:ascii="Times New Roman" w:hAnsi="Times New Roman" w:cs="Times New Roman"/>
          <w:bCs/>
          <w:sz w:val="24"/>
          <w:szCs w:val="24"/>
        </w:rPr>
        <w:t>forense,</w:t>
      </w:r>
      <w:r>
        <w:rPr>
          <w:rFonts w:ascii="Times New Roman" w:hAnsi="Times New Roman" w:cs="Times New Roman"/>
          <w:bCs/>
          <w:sz w:val="24"/>
          <w:szCs w:val="24"/>
        </w:rPr>
        <w:t xml:space="preserve"> pero en el agresor. Asimismo, </w:t>
      </w:r>
      <w:r w:rsidR="009D14FA">
        <w:rPr>
          <w:rFonts w:ascii="Times New Roman" w:hAnsi="Times New Roman" w:cs="Times New Roman"/>
          <w:bCs/>
          <w:sz w:val="24"/>
          <w:szCs w:val="24"/>
        </w:rPr>
        <w:t>tre</w:t>
      </w:r>
      <w:r w:rsidR="005F273D">
        <w:rPr>
          <w:rFonts w:ascii="Times New Roman" w:hAnsi="Times New Roman" w:cs="Times New Roman"/>
          <w:bCs/>
          <w:sz w:val="24"/>
          <w:szCs w:val="24"/>
        </w:rPr>
        <w:t>s</w:t>
      </w:r>
      <w:r>
        <w:rPr>
          <w:rFonts w:ascii="Times New Roman" w:hAnsi="Times New Roman" w:cs="Times New Roman"/>
          <w:bCs/>
          <w:sz w:val="24"/>
          <w:szCs w:val="24"/>
        </w:rPr>
        <w:t xml:space="preserve"> personas entrevistadas indican saber que es por la conducta, por medio de pruebas psicométricas y por valoración experta.</w:t>
      </w:r>
    </w:p>
    <w:p w14:paraId="66F98BFF" w14:textId="59CDEAB2" w:rsidR="00E10342" w:rsidRDefault="00D31DDB" w:rsidP="00AA4E33">
      <w:pPr>
        <w:pStyle w:val="Standard"/>
        <w:spacing w:after="0" w:line="360" w:lineRule="auto"/>
        <w:ind w:firstLine="709"/>
        <w:jc w:val="both"/>
      </w:pPr>
      <w:r>
        <w:rPr>
          <w:rFonts w:ascii="Times New Roman" w:hAnsi="Times New Roman" w:cs="Times New Roman"/>
          <w:bCs/>
          <w:sz w:val="24"/>
          <w:szCs w:val="24"/>
        </w:rPr>
        <w:t>A pesar de que se reconoce que la forma de terminar una vulnerabilidad cognitiva de manera confiable es la científica, mediante una pericia forense (específicamente la psicológica), esta no se efectúa en favor de las personas víctimas de violencia intrafamiliar</w:t>
      </w:r>
      <w:r w:rsidR="009D14FA">
        <w:rPr>
          <w:rFonts w:ascii="Times New Roman" w:hAnsi="Times New Roman" w:cs="Times New Roman"/>
          <w:bCs/>
          <w:sz w:val="24"/>
          <w:szCs w:val="24"/>
        </w:rPr>
        <w:t xml:space="preserve"> que</w:t>
      </w:r>
      <w:r w:rsidR="001768B3">
        <w:rPr>
          <w:rFonts w:ascii="Times New Roman" w:hAnsi="Times New Roman" w:cs="Times New Roman"/>
          <w:bCs/>
          <w:sz w:val="24"/>
          <w:szCs w:val="24"/>
        </w:rPr>
        <w:t xml:space="preserve"> </w:t>
      </w:r>
      <w:r>
        <w:rPr>
          <w:rFonts w:ascii="Times New Roman" w:hAnsi="Times New Roman" w:cs="Times New Roman"/>
          <w:bCs/>
          <w:sz w:val="24"/>
          <w:szCs w:val="24"/>
        </w:rPr>
        <w:t xml:space="preserve">únicamente se le realiza al presunto agresor cuando se tiene duda sobre su capacidad cognitiva para la comprensión y acatamiento de las medidas de protección. Las personas </w:t>
      </w:r>
      <w:r>
        <w:rPr>
          <w:rFonts w:ascii="Times New Roman" w:hAnsi="Times New Roman" w:cs="Times New Roman"/>
          <w:bCs/>
          <w:sz w:val="24"/>
          <w:szCs w:val="24"/>
        </w:rPr>
        <w:lastRenderedPageBreak/>
        <w:t>entrevistadas persisten en relacionar vulnerabilidad cognitiva con capacidad cognitiva y volitiva.</w:t>
      </w:r>
    </w:p>
    <w:p w14:paraId="0E7C93C0" w14:textId="712B91AD" w:rsidR="00E10342" w:rsidRDefault="00D31DDB" w:rsidP="00AA4E33">
      <w:pPr>
        <w:pStyle w:val="Prrafodelista"/>
        <w:numPr>
          <w:ilvl w:val="0"/>
          <w:numId w:val="18"/>
        </w:numPr>
        <w:tabs>
          <w:tab w:val="left" w:pos="993"/>
        </w:tabs>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Al preguntar sobre el momento de detección de la vulnerabilidad cognitiva según las personas entrevistadas, los hallazgos se detallan en el siguiente gráfico:</w:t>
      </w:r>
    </w:p>
    <w:p w14:paraId="1CC1AC2D" w14:textId="156E4909" w:rsidR="00CE1426" w:rsidRPr="00CE1426" w:rsidRDefault="002C5FD8" w:rsidP="002C5FD8">
      <w:pPr>
        <w:pStyle w:val="Descripcin"/>
        <w:spacing w:after="0" w:line="360" w:lineRule="auto"/>
        <w:rPr>
          <w:rFonts w:ascii="Times New Roman" w:hAnsi="Times New Roman" w:cs="Times New Roman"/>
          <w:b/>
          <w:bCs/>
          <w:i w:val="0"/>
          <w:iCs w:val="0"/>
          <w:color w:val="000000" w:themeColor="text1"/>
          <w:sz w:val="24"/>
          <w:szCs w:val="24"/>
        </w:rPr>
      </w:pPr>
      <w:bookmarkStart w:id="371" w:name="_Toc62481530"/>
      <w:r w:rsidRPr="00CE1426">
        <w:rPr>
          <w:rFonts w:ascii="Times New Roman" w:hAnsi="Times New Roman" w:cs="Times New Roman"/>
          <w:b/>
          <w:bCs/>
          <w:i w:val="0"/>
          <w:iCs w:val="0"/>
          <w:color w:val="000000" w:themeColor="text1"/>
          <w:sz w:val="24"/>
          <w:szCs w:val="24"/>
        </w:rPr>
        <w:t xml:space="preserve">Gráfico </w:t>
      </w:r>
      <w:r w:rsidRPr="00CE1426">
        <w:rPr>
          <w:rFonts w:ascii="Times New Roman" w:hAnsi="Times New Roman" w:cs="Times New Roman"/>
          <w:b/>
          <w:bCs/>
          <w:i w:val="0"/>
          <w:iCs w:val="0"/>
          <w:color w:val="000000" w:themeColor="text1"/>
          <w:sz w:val="24"/>
          <w:szCs w:val="24"/>
        </w:rPr>
        <w:fldChar w:fldCharType="begin"/>
      </w:r>
      <w:r w:rsidRPr="00CE1426">
        <w:rPr>
          <w:rFonts w:ascii="Times New Roman" w:hAnsi="Times New Roman" w:cs="Times New Roman"/>
          <w:b/>
          <w:bCs/>
          <w:i w:val="0"/>
          <w:iCs w:val="0"/>
          <w:color w:val="000000" w:themeColor="text1"/>
          <w:sz w:val="24"/>
          <w:szCs w:val="24"/>
        </w:rPr>
        <w:instrText xml:space="preserve"> SEQ Gráfico \* ARABIC </w:instrText>
      </w:r>
      <w:r w:rsidRPr="00CE1426">
        <w:rPr>
          <w:rFonts w:ascii="Times New Roman" w:hAnsi="Times New Roman" w:cs="Times New Roman"/>
          <w:b/>
          <w:bCs/>
          <w:i w:val="0"/>
          <w:iCs w:val="0"/>
          <w:color w:val="000000" w:themeColor="text1"/>
          <w:sz w:val="24"/>
          <w:szCs w:val="24"/>
        </w:rPr>
        <w:fldChar w:fldCharType="separate"/>
      </w:r>
      <w:r w:rsidR="00921D8A">
        <w:rPr>
          <w:rFonts w:ascii="Times New Roman" w:hAnsi="Times New Roman" w:cs="Times New Roman"/>
          <w:b/>
          <w:bCs/>
          <w:i w:val="0"/>
          <w:iCs w:val="0"/>
          <w:noProof/>
          <w:color w:val="000000" w:themeColor="text1"/>
          <w:sz w:val="24"/>
          <w:szCs w:val="24"/>
        </w:rPr>
        <w:t>10</w:t>
      </w:r>
      <w:r w:rsidRPr="00CE1426">
        <w:rPr>
          <w:rFonts w:ascii="Times New Roman" w:hAnsi="Times New Roman" w:cs="Times New Roman"/>
          <w:b/>
          <w:bCs/>
          <w:i w:val="0"/>
          <w:iCs w:val="0"/>
          <w:color w:val="000000" w:themeColor="text1"/>
          <w:sz w:val="24"/>
          <w:szCs w:val="24"/>
        </w:rPr>
        <w:fldChar w:fldCharType="end"/>
      </w:r>
      <w:r w:rsidRPr="00CE1426">
        <w:rPr>
          <w:rFonts w:ascii="Times New Roman" w:hAnsi="Times New Roman" w:cs="Times New Roman"/>
          <w:b/>
          <w:bCs/>
          <w:i w:val="0"/>
          <w:iCs w:val="0"/>
          <w:color w:val="000000" w:themeColor="text1"/>
          <w:sz w:val="24"/>
          <w:szCs w:val="24"/>
        </w:rPr>
        <w:t xml:space="preserve">. </w:t>
      </w:r>
    </w:p>
    <w:p w14:paraId="03A8614C" w14:textId="5F60B9B8" w:rsidR="009C7BE7" w:rsidRPr="002C5FD8" w:rsidRDefault="002C5FD8" w:rsidP="002C5FD8">
      <w:pPr>
        <w:pStyle w:val="Descripcin"/>
        <w:spacing w:after="0" w:line="360" w:lineRule="auto"/>
        <w:rPr>
          <w:rFonts w:ascii="Times New Roman" w:hAnsi="Times New Roman" w:cs="Times New Roman"/>
          <w:b/>
          <w:bCs/>
          <w:i w:val="0"/>
          <w:iCs w:val="0"/>
          <w:color w:val="000000" w:themeColor="text1"/>
          <w:sz w:val="24"/>
          <w:szCs w:val="24"/>
        </w:rPr>
      </w:pPr>
      <w:r w:rsidRPr="002C5FD8">
        <w:rPr>
          <w:rFonts w:ascii="Times New Roman" w:hAnsi="Times New Roman" w:cs="Times New Roman"/>
          <w:b/>
          <w:bCs/>
          <w:color w:val="000000" w:themeColor="text1"/>
          <w:sz w:val="24"/>
          <w:szCs w:val="24"/>
        </w:rPr>
        <w:t>Momento de la detección de la Vulnerabilidad Cognitiva.</w:t>
      </w:r>
      <w:bookmarkEnd w:id="371"/>
    </w:p>
    <w:p w14:paraId="5C3CE59F" w14:textId="04C32F7A" w:rsidR="00E10342" w:rsidRDefault="00AB0289" w:rsidP="002C5FD8">
      <w:pPr>
        <w:pStyle w:val="Standard"/>
        <w:spacing w:after="0" w:line="360" w:lineRule="auto"/>
        <w:jc w:val="both"/>
        <w:rPr>
          <w:rFonts w:ascii="Times New Roman" w:hAnsi="Times New Roman" w:cs="Times New Roman"/>
          <w:bCs/>
          <w:sz w:val="24"/>
          <w:szCs w:val="24"/>
        </w:rPr>
      </w:pPr>
      <w:r w:rsidRPr="00441763">
        <w:rPr>
          <w:rFonts w:ascii="Times New Roman" w:hAnsi="Times New Roman" w:cs="Times New Roman"/>
          <w:bCs/>
          <w:noProof/>
          <w:sz w:val="24"/>
          <w:szCs w:val="24"/>
          <w:lang w:eastAsia="es-CR"/>
        </w:rPr>
        <w:drawing>
          <wp:inline distT="0" distB="0" distL="0" distR="0" wp14:anchorId="5A9E0D41" wp14:editId="7C6F6CC6">
            <wp:extent cx="5486400" cy="3200400"/>
            <wp:effectExtent l="0" t="0" r="0" b="0"/>
            <wp:docPr id="46" name="Gráfico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2741D96F" w14:textId="2D01B8BF" w:rsidR="00E10342" w:rsidRDefault="00D31DDB">
      <w:pPr>
        <w:pStyle w:val="Standard"/>
        <w:spacing w:line="240" w:lineRule="auto"/>
        <w:jc w:val="both"/>
      </w:pPr>
      <w:r>
        <w:rPr>
          <w:rFonts w:ascii="Times New Roman" w:hAnsi="Times New Roman" w:cs="Times New Roman"/>
          <w:bCs/>
          <w:iCs/>
          <w:sz w:val="24"/>
          <w:szCs w:val="24"/>
        </w:rPr>
        <w:t>Fuente: elaboración propia (2020).</w:t>
      </w:r>
    </w:p>
    <w:p w14:paraId="27CF7B55" w14:textId="7BD39D34" w:rsidR="00E10342" w:rsidRDefault="00D31DDB" w:rsidP="00A71BC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Al consultar acerca del grupo etario que presenta mayor incidencia de vulnerabilidad cognitiva, las personas entrevistadas desconocen este dato. No le han prestado mayor interés, pese a que en cada uno de los expedientes estudiados </w:t>
      </w:r>
      <w:r w:rsidR="00DB37B4">
        <w:rPr>
          <w:rFonts w:ascii="Times New Roman" w:hAnsi="Times New Roman" w:cs="Times New Roman"/>
          <w:bCs/>
          <w:sz w:val="24"/>
          <w:szCs w:val="24"/>
        </w:rPr>
        <w:t>se</w:t>
      </w:r>
      <w:r>
        <w:rPr>
          <w:rFonts w:ascii="Times New Roman" w:hAnsi="Times New Roman" w:cs="Times New Roman"/>
          <w:bCs/>
          <w:sz w:val="24"/>
          <w:szCs w:val="24"/>
        </w:rPr>
        <w:t xml:space="preserve"> consigna la edad de las </w:t>
      </w:r>
      <w:r w:rsidR="009D14FA">
        <w:rPr>
          <w:rFonts w:ascii="Times New Roman" w:hAnsi="Times New Roman" w:cs="Times New Roman"/>
          <w:bCs/>
          <w:sz w:val="24"/>
          <w:szCs w:val="24"/>
        </w:rPr>
        <w:t xml:space="preserve">personas </w:t>
      </w:r>
      <w:r>
        <w:rPr>
          <w:rFonts w:ascii="Times New Roman" w:hAnsi="Times New Roman" w:cs="Times New Roman"/>
          <w:bCs/>
          <w:sz w:val="24"/>
          <w:szCs w:val="24"/>
        </w:rPr>
        <w:t>solicitantes de medidas de protección. De esta manera, al parecer el dato de la edad no es considerado para nada en específico durante la tramitación.</w:t>
      </w:r>
    </w:p>
    <w:p w14:paraId="5DBB469E" w14:textId="4AF5BBF9" w:rsidR="00E10342" w:rsidRDefault="00D31DDB" w:rsidP="00A71BC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Al preguntar si conocen sobre algún protocolo institucional que aborde la vulnerabilidad cognitiva, se obtuvo como respuesta general que no existe uno que la aborde de manera específica. Además, lo que sí reconocen y aplican es el protocolo en caso de alto riesgo con relación a la muerte, que es la razón por la que preguntan sobre las amenazas de muerte y el uso de algún arma por parte del agresor.</w:t>
      </w:r>
    </w:p>
    <w:p w14:paraId="50390B5C" w14:textId="77777777" w:rsidR="00212D15" w:rsidRDefault="00212D15" w:rsidP="00A71BCB">
      <w:pPr>
        <w:pStyle w:val="Standard"/>
        <w:spacing w:after="0" w:line="360" w:lineRule="auto"/>
        <w:ind w:firstLine="709"/>
        <w:jc w:val="both"/>
      </w:pPr>
    </w:p>
    <w:p w14:paraId="7490F3F6" w14:textId="27387D7D" w:rsidR="00E10342" w:rsidRDefault="00DB37B4" w:rsidP="00A71BC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333D21">
        <w:rPr>
          <w:rFonts w:ascii="Times New Roman" w:hAnsi="Times New Roman" w:cs="Times New Roman"/>
          <w:bCs/>
          <w:sz w:val="24"/>
          <w:szCs w:val="24"/>
        </w:rPr>
        <w:t>Del estudio realizado</w:t>
      </w:r>
      <w:r w:rsidR="00212D15" w:rsidRPr="00333D21">
        <w:rPr>
          <w:rFonts w:ascii="Times New Roman" w:hAnsi="Times New Roman" w:cs="Times New Roman"/>
          <w:bCs/>
          <w:sz w:val="24"/>
          <w:szCs w:val="24"/>
        </w:rPr>
        <w:t>,</w:t>
      </w:r>
      <w:r w:rsidR="00D02179" w:rsidRPr="00333D21">
        <w:rPr>
          <w:rFonts w:ascii="Times New Roman" w:hAnsi="Times New Roman" w:cs="Times New Roman"/>
          <w:bCs/>
          <w:sz w:val="24"/>
          <w:szCs w:val="24"/>
        </w:rPr>
        <w:t xml:space="preserve"> </w:t>
      </w:r>
      <w:r w:rsidR="00385EDB" w:rsidRPr="00333D21">
        <w:rPr>
          <w:rFonts w:ascii="Times New Roman" w:hAnsi="Times New Roman" w:cs="Times New Roman"/>
          <w:bCs/>
          <w:sz w:val="24"/>
          <w:szCs w:val="24"/>
        </w:rPr>
        <w:t>se extrae que</w:t>
      </w:r>
      <w:r w:rsidR="00212D15" w:rsidRPr="00333D21">
        <w:rPr>
          <w:rFonts w:ascii="Times New Roman" w:hAnsi="Times New Roman" w:cs="Times New Roman"/>
          <w:bCs/>
          <w:sz w:val="24"/>
          <w:szCs w:val="24"/>
        </w:rPr>
        <w:t xml:space="preserve"> en los procesos judiciales </w:t>
      </w:r>
      <w:r w:rsidR="00385EDB" w:rsidRPr="00333D21">
        <w:rPr>
          <w:rFonts w:ascii="Times New Roman" w:hAnsi="Times New Roman" w:cs="Times New Roman"/>
          <w:bCs/>
          <w:sz w:val="24"/>
          <w:szCs w:val="24"/>
        </w:rPr>
        <w:t>se</w:t>
      </w:r>
      <w:r w:rsidR="00212D15" w:rsidRPr="00333D21">
        <w:rPr>
          <w:rFonts w:ascii="Times New Roman" w:hAnsi="Times New Roman" w:cs="Times New Roman"/>
          <w:bCs/>
          <w:sz w:val="24"/>
          <w:szCs w:val="24"/>
        </w:rPr>
        <w:t xml:space="preserve"> </w:t>
      </w:r>
      <w:r w:rsidR="00385EDB" w:rsidRPr="00333D21">
        <w:rPr>
          <w:rFonts w:ascii="Times New Roman" w:hAnsi="Times New Roman" w:cs="Times New Roman"/>
          <w:bCs/>
          <w:sz w:val="24"/>
          <w:szCs w:val="24"/>
        </w:rPr>
        <w:t>evalúa</w:t>
      </w:r>
      <w:r w:rsidR="00212D15" w:rsidRPr="00333D21">
        <w:rPr>
          <w:rFonts w:ascii="Times New Roman" w:hAnsi="Times New Roman" w:cs="Times New Roman"/>
          <w:bCs/>
          <w:sz w:val="24"/>
          <w:szCs w:val="24"/>
        </w:rPr>
        <w:t xml:space="preserve"> </w:t>
      </w:r>
      <w:r w:rsidR="00D23BC2" w:rsidRPr="00333D21">
        <w:rPr>
          <w:rFonts w:ascii="Times New Roman" w:hAnsi="Times New Roman" w:cs="Times New Roman"/>
          <w:bCs/>
          <w:sz w:val="24"/>
          <w:szCs w:val="24"/>
        </w:rPr>
        <w:t>la discapacidad</w:t>
      </w:r>
      <w:r w:rsidR="00212D15" w:rsidRPr="00333D21">
        <w:rPr>
          <w:rFonts w:ascii="Times New Roman" w:hAnsi="Times New Roman" w:cs="Times New Roman"/>
          <w:bCs/>
          <w:sz w:val="24"/>
          <w:szCs w:val="24"/>
        </w:rPr>
        <w:t xml:space="preserve"> </w:t>
      </w:r>
      <w:r w:rsidR="00D31DDB" w:rsidRPr="00333D21">
        <w:rPr>
          <w:rFonts w:ascii="Times New Roman" w:hAnsi="Times New Roman" w:cs="Times New Roman"/>
          <w:bCs/>
          <w:sz w:val="24"/>
          <w:szCs w:val="24"/>
        </w:rPr>
        <w:t>cognitiva</w:t>
      </w:r>
      <w:r w:rsidR="00212D15" w:rsidRPr="00333D21">
        <w:rPr>
          <w:rFonts w:ascii="Times New Roman" w:hAnsi="Times New Roman" w:cs="Times New Roman"/>
          <w:bCs/>
          <w:sz w:val="24"/>
          <w:szCs w:val="24"/>
        </w:rPr>
        <w:t>, al relacionar</w:t>
      </w:r>
      <w:r w:rsidR="00385EDB" w:rsidRPr="00333D21">
        <w:rPr>
          <w:rFonts w:ascii="Times New Roman" w:hAnsi="Times New Roman" w:cs="Times New Roman"/>
          <w:bCs/>
          <w:sz w:val="24"/>
          <w:szCs w:val="24"/>
        </w:rPr>
        <w:t>la</w:t>
      </w:r>
      <w:r w:rsidR="00212D15" w:rsidRPr="00333D21">
        <w:rPr>
          <w:rFonts w:ascii="Times New Roman" w:hAnsi="Times New Roman" w:cs="Times New Roman"/>
          <w:bCs/>
          <w:sz w:val="24"/>
          <w:szCs w:val="24"/>
        </w:rPr>
        <w:t xml:space="preserve"> con </w:t>
      </w:r>
      <w:r w:rsidR="00385EDB" w:rsidRPr="00333D21">
        <w:rPr>
          <w:rFonts w:ascii="Times New Roman" w:hAnsi="Times New Roman" w:cs="Times New Roman"/>
          <w:bCs/>
          <w:sz w:val="24"/>
          <w:szCs w:val="24"/>
        </w:rPr>
        <w:t xml:space="preserve">el </w:t>
      </w:r>
      <w:r w:rsidR="00D31DDB" w:rsidRPr="00333D21">
        <w:rPr>
          <w:rFonts w:ascii="Times New Roman" w:hAnsi="Times New Roman" w:cs="Times New Roman"/>
          <w:bCs/>
          <w:sz w:val="24"/>
          <w:szCs w:val="24"/>
        </w:rPr>
        <w:t xml:space="preserve">compromiso de </w:t>
      </w:r>
      <w:r w:rsidR="00385EDB" w:rsidRPr="00333D21">
        <w:rPr>
          <w:rFonts w:ascii="Times New Roman" w:hAnsi="Times New Roman" w:cs="Times New Roman"/>
          <w:bCs/>
          <w:sz w:val="24"/>
          <w:szCs w:val="24"/>
        </w:rPr>
        <w:t xml:space="preserve">la </w:t>
      </w:r>
      <w:r w:rsidR="00D31DDB" w:rsidRPr="00333D21">
        <w:rPr>
          <w:rFonts w:ascii="Times New Roman" w:hAnsi="Times New Roman" w:cs="Times New Roman"/>
          <w:bCs/>
          <w:sz w:val="24"/>
          <w:szCs w:val="24"/>
        </w:rPr>
        <w:t>capacidad intelectual en sus agresores</w:t>
      </w:r>
      <w:r w:rsidR="00385EDB" w:rsidRPr="00333D21">
        <w:rPr>
          <w:rFonts w:ascii="Times New Roman" w:hAnsi="Times New Roman" w:cs="Times New Roman"/>
          <w:bCs/>
          <w:sz w:val="24"/>
          <w:szCs w:val="24"/>
        </w:rPr>
        <w:t>, no se valora l</w:t>
      </w:r>
      <w:r w:rsidR="00212D15" w:rsidRPr="00333D21">
        <w:rPr>
          <w:rFonts w:ascii="Times New Roman" w:hAnsi="Times New Roman" w:cs="Times New Roman"/>
          <w:bCs/>
          <w:sz w:val="24"/>
          <w:szCs w:val="24"/>
        </w:rPr>
        <w:t xml:space="preserve">a vulnerabilidad cognitiva en </w:t>
      </w:r>
      <w:r w:rsidR="00385EDB" w:rsidRPr="00333D21">
        <w:rPr>
          <w:rFonts w:ascii="Times New Roman" w:hAnsi="Times New Roman" w:cs="Times New Roman"/>
          <w:bCs/>
          <w:sz w:val="24"/>
          <w:szCs w:val="24"/>
        </w:rPr>
        <w:t xml:space="preserve">las </w:t>
      </w:r>
      <w:r w:rsidR="00212D15" w:rsidRPr="00333D21">
        <w:rPr>
          <w:rFonts w:ascii="Times New Roman" w:hAnsi="Times New Roman" w:cs="Times New Roman"/>
          <w:bCs/>
          <w:sz w:val="24"/>
          <w:szCs w:val="24"/>
        </w:rPr>
        <w:t>víctimas</w:t>
      </w:r>
      <w:r w:rsidR="00C5755A" w:rsidRPr="00333D21">
        <w:rPr>
          <w:rFonts w:ascii="Times New Roman" w:hAnsi="Times New Roman" w:cs="Times New Roman"/>
          <w:bCs/>
          <w:sz w:val="24"/>
          <w:szCs w:val="24"/>
        </w:rPr>
        <w:t xml:space="preserve">, </w:t>
      </w:r>
      <w:r w:rsidR="00385EDB" w:rsidRPr="00333D21">
        <w:rPr>
          <w:rFonts w:ascii="Times New Roman" w:hAnsi="Times New Roman" w:cs="Times New Roman"/>
          <w:bCs/>
          <w:sz w:val="24"/>
          <w:szCs w:val="24"/>
        </w:rPr>
        <w:t xml:space="preserve">esto debido al desconocimiento de </w:t>
      </w:r>
      <w:proofErr w:type="gramStart"/>
      <w:r w:rsidR="00385EDB" w:rsidRPr="00333D21">
        <w:rPr>
          <w:rFonts w:ascii="Times New Roman" w:hAnsi="Times New Roman" w:cs="Times New Roman"/>
          <w:bCs/>
          <w:sz w:val="24"/>
          <w:szCs w:val="24"/>
        </w:rPr>
        <w:t>la misma</w:t>
      </w:r>
      <w:proofErr w:type="gramEnd"/>
      <w:r w:rsidR="00212D15" w:rsidRPr="00333D21">
        <w:rPr>
          <w:rFonts w:ascii="Times New Roman" w:hAnsi="Times New Roman" w:cs="Times New Roman"/>
          <w:bCs/>
          <w:sz w:val="24"/>
          <w:szCs w:val="24"/>
        </w:rPr>
        <w:t xml:space="preserve">. </w:t>
      </w:r>
    </w:p>
    <w:p w14:paraId="4A32A894" w14:textId="77777777" w:rsidR="00A71BCB" w:rsidRDefault="00D31DDB" w:rsidP="00A71BCB">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Lo anterior evidencia el nulo abordaje que la institución realiza en cuanto a la vulnerabilidad cognitiva y, en consecuencia, la revictimización a las mujeres víctimas de V. I. quienes acceden a la administración de justicia en busca de protección y auxilio.</w:t>
      </w:r>
    </w:p>
    <w:p w14:paraId="0753B5D2" w14:textId="6263A102" w:rsidR="00C5755A" w:rsidRDefault="00D31DDB" w:rsidP="00A71BCB">
      <w:pPr>
        <w:pStyle w:val="Standard"/>
        <w:spacing w:after="0" w:line="360" w:lineRule="auto"/>
        <w:ind w:firstLine="709"/>
        <w:jc w:val="both"/>
        <w:rPr>
          <w:rFonts w:ascii="Times New Roman" w:hAnsi="Times New Roman" w:cs="Times New Roman"/>
          <w:bCs/>
          <w:sz w:val="24"/>
          <w:szCs w:val="24"/>
        </w:rPr>
      </w:pPr>
      <w:r w:rsidRPr="00A71BCB">
        <w:rPr>
          <w:rFonts w:ascii="Times New Roman" w:hAnsi="Times New Roman" w:cs="Times New Roman"/>
          <w:bCs/>
          <w:sz w:val="24"/>
          <w:szCs w:val="24"/>
        </w:rPr>
        <w:t>Al preguntar si se considera que existe riesgo de revictimización institucional de no abordarse adecuadamente la vulnerabilidad cognitiva, todas las personas entrevistadas respondieron que sí, lo que equivale a un 100%</w:t>
      </w:r>
      <w:r w:rsidR="00C5755A">
        <w:rPr>
          <w:rFonts w:ascii="Times New Roman" w:hAnsi="Times New Roman" w:cs="Times New Roman"/>
          <w:bCs/>
          <w:sz w:val="24"/>
          <w:szCs w:val="24"/>
        </w:rPr>
        <w:t>.</w:t>
      </w:r>
      <w:r w:rsidR="00732B5F">
        <w:rPr>
          <w:rFonts w:ascii="Times New Roman" w:hAnsi="Times New Roman" w:cs="Times New Roman"/>
          <w:bCs/>
          <w:sz w:val="24"/>
          <w:szCs w:val="24"/>
        </w:rPr>
        <w:t xml:space="preserve"> Siendo que</w:t>
      </w:r>
      <w:r w:rsidR="00230977">
        <w:rPr>
          <w:rFonts w:ascii="Times New Roman" w:hAnsi="Times New Roman" w:cs="Times New Roman"/>
          <w:bCs/>
          <w:sz w:val="24"/>
          <w:szCs w:val="24"/>
        </w:rPr>
        <w:t xml:space="preserve"> este porcentaje</w:t>
      </w:r>
      <w:r w:rsidR="001768B3">
        <w:rPr>
          <w:rFonts w:ascii="Times New Roman" w:hAnsi="Times New Roman" w:cs="Times New Roman"/>
          <w:bCs/>
          <w:sz w:val="24"/>
          <w:szCs w:val="24"/>
        </w:rPr>
        <w:t xml:space="preserve"> </w:t>
      </w:r>
      <w:r w:rsidR="00230977">
        <w:rPr>
          <w:rFonts w:ascii="Times New Roman" w:hAnsi="Times New Roman" w:cs="Times New Roman"/>
          <w:bCs/>
          <w:sz w:val="24"/>
          <w:szCs w:val="24"/>
        </w:rPr>
        <w:t>refleja</w:t>
      </w:r>
      <w:r w:rsidR="001768B3">
        <w:rPr>
          <w:rFonts w:ascii="Times New Roman" w:hAnsi="Times New Roman" w:cs="Times New Roman"/>
          <w:bCs/>
          <w:sz w:val="24"/>
          <w:szCs w:val="24"/>
        </w:rPr>
        <w:t xml:space="preserve"> </w:t>
      </w:r>
      <w:r w:rsidR="00230977">
        <w:rPr>
          <w:rFonts w:ascii="Times New Roman" w:hAnsi="Times New Roman" w:cs="Times New Roman"/>
          <w:bCs/>
          <w:sz w:val="24"/>
          <w:szCs w:val="24"/>
        </w:rPr>
        <w:t xml:space="preserve">que </w:t>
      </w:r>
      <w:r w:rsidR="007C61D7">
        <w:rPr>
          <w:rFonts w:ascii="Times New Roman" w:hAnsi="Times New Roman" w:cs="Times New Roman"/>
          <w:bCs/>
          <w:sz w:val="24"/>
          <w:szCs w:val="24"/>
        </w:rPr>
        <w:t>las personas</w:t>
      </w:r>
      <w:r w:rsidR="001768B3">
        <w:rPr>
          <w:rFonts w:ascii="Times New Roman" w:hAnsi="Times New Roman" w:cs="Times New Roman"/>
          <w:bCs/>
          <w:sz w:val="24"/>
          <w:szCs w:val="24"/>
        </w:rPr>
        <w:t xml:space="preserve"> </w:t>
      </w:r>
      <w:r w:rsidR="00230977">
        <w:rPr>
          <w:rFonts w:ascii="Times New Roman" w:hAnsi="Times New Roman" w:cs="Times New Roman"/>
          <w:bCs/>
          <w:sz w:val="24"/>
          <w:szCs w:val="24"/>
        </w:rPr>
        <w:t>entrevistad</w:t>
      </w:r>
      <w:r w:rsidR="007C61D7">
        <w:rPr>
          <w:rFonts w:ascii="Times New Roman" w:hAnsi="Times New Roman" w:cs="Times New Roman"/>
          <w:bCs/>
          <w:sz w:val="24"/>
          <w:szCs w:val="24"/>
        </w:rPr>
        <w:t>a</w:t>
      </w:r>
      <w:r w:rsidR="00230977">
        <w:rPr>
          <w:rFonts w:ascii="Times New Roman" w:hAnsi="Times New Roman" w:cs="Times New Roman"/>
          <w:bCs/>
          <w:sz w:val="24"/>
          <w:szCs w:val="24"/>
        </w:rPr>
        <w:t>s</w:t>
      </w:r>
      <w:r w:rsidR="00D23BC2">
        <w:rPr>
          <w:rFonts w:ascii="Times New Roman" w:hAnsi="Times New Roman" w:cs="Times New Roman"/>
          <w:bCs/>
          <w:sz w:val="24"/>
          <w:szCs w:val="24"/>
        </w:rPr>
        <w:t>,</w:t>
      </w:r>
      <w:r w:rsidR="001768B3">
        <w:rPr>
          <w:rFonts w:ascii="Times New Roman" w:hAnsi="Times New Roman" w:cs="Times New Roman"/>
          <w:bCs/>
          <w:sz w:val="24"/>
          <w:szCs w:val="24"/>
        </w:rPr>
        <w:t xml:space="preserve"> </w:t>
      </w:r>
      <w:r w:rsidR="007C61D7">
        <w:rPr>
          <w:rFonts w:ascii="Times New Roman" w:hAnsi="Times New Roman" w:cs="Times New Roman"/>
          <w:bCs/>
          <w:sz w:val="24"/>
          <w:szCs w:val="24"/>
        </w:rPr>
        <w:t xml:space="preserve">enfocaron </w:t>
      </w:r>
      <w:r w:rsidR="007F1DEB">
        <w:rPr>
          <w:rFonts w:ascii="Times New Roman" w:hAnsi="Times New Roman" w:cs="Times New Roman"/>
          <w:bCs/>
          <w:sz w:val="24"/>
          <w:szCs w:val="24"/>
        </w:rPr>
        <w:t>sus</w:t>
      </w:r>
      <w:r w:rsidR="001768B3">
        <w:rPr>
          <w:rFonts w:ascii="Times New Roman" w:hAnsi="Times New Roman" w:cs="Times New Roman"/>
          <w:bCs/>
          <w:sz w:val="24"/>
          <w:szCs w:val="24"/>
        </w:rPr>
        <w:t xml:space="preserve"> </w:t>
      </w:r>
      <w:r w:rsidR="00C5755A">
        <w:rPr>
          <w:rFonts w:ascii="Times New Roman" w:hAnsi="Times New Roman" w:cs="Times New Roman"/>
          <w:bCs/>
          <w:sz w:val="24"/>
          <w:szCs w:val="24"/>
        </w:rPr>
        <w:t xml:space="preserve">respuestas </w:t>
      </w:r>
      <w:r w:rsidR="00230977">
        <w:rPr>
          <w:rFonts w:ascii="Times New Roman" w:hAnsi="Times New Roman" w:cs="Times New Roman"/>
          <w:bCs/>
          <w:sz w:val="24"/>
          <w:szCs w:val="24"/>
        </w:rPr>
        <w:t>a</w:t>
      </w:r>
      <w:r w:rsidR="00C5755A">
        <w:rPr>
          <w:rFonts w:ascii="Times New Roman" w:hAnsi="Times New Roman" w:cs="Times New Roman"/>
          <w:bCs/>
          <w:sz w:val="24"/>
          <w:szCs w:val="24"/>
        </w:rPr>
        <w:t xml:space="preserve"> la importancia</w:t>
      </w:r>
      <w:r w:rsidR="001768B3">
        <w:rPr>
          <w:rFonts w:ascii="Times New Roman" w:hAnsi="Times New Roman" w:cs="Times New Roman"/>
          <w:bCs/>
          <w:sz w:val="24"/>
          <w:szCs w:val="24"/>
        </w:rPr>
        <w:t xml:space="preserve"> </w:t>
      </w:r>
      <w:r w:rsidR="00230977">
        <w:rPr>
          <w:rFonts w:ascii="Times New Roman" w:hAnsi="Times New Roman" w:cs="Times New Roman"/>
          <w:bCs/>
          <w:sz w:val="24"/>
          <w:szCs w:val="24"/>
        </w:rPr>
        <w:t xml:space="preserve">de </w:t>
      </w:r>
      <w:r w:rsidR="00C5755A">
        <w:rPr>
          <w:rFonts w:ascii="Times New Roman" w:hAnsi="Times New Roman" w:cs="Times New Roman"/>
          <w:bCs/>
          <w:sz w:val="24"/>
          <w:szCs w:val="24"/>
        </w:rPr>
        <w:t xml:space="preserve">conocer </w:t>
      </w:r>
      <w:r w:rsidR="00230977">
        <w:rPr>
          <w:rFonts w:ascii="Times New Roman" w:hAnsi="Times New Roman" w:cs="Times New Roman"/>
          <w:bCs/>
          <w:sz w:val="24"/>
          <w:szCs w:val="24"/>
        </w:rPr>
        <w:t>si l</w:t>
      </w:r>
      <w:r w:rsidR="00C5755A">
        <w:rPr>
          <w:rFonts w:ascii="Times New Roman" w:hAnsi="Times New Roman" w:cs="Times New Roman"/>
          <w:bCs/>
          <w:sz w:val="24"/>
          <w:szCs w:val="24"/>
        </w:rPr>
        <w:t>as</w:t>
      </w:r>
      <w:r w:rsidR="00230977">
        <w:rPr>
          <w:rFonts w:ascii="Times New Roman" w:hAnsi="Times New Roman" w:cs="Times New Roman"/>
          <w:bCs/>
          <w:sz w:val="24"/>
          <w:szCs w:val="24"/>
        </w:rPr>
        <w:t xml:space="preserve"> mujeres solicitantes de medidas de </w:t>
      </w:r>
      <w:proofErr w:type="gramStart"/>
      <w:r w:rsidR="00230977">
        <w:rPr>
          <w:rFonts w:ascii="Times New Roman" w:hAnsi="Times New Roman" w:cs="Times New Roman"/>
          <w:bCs/>
          <w:sz w:val="24"/>
          <w:szCs w:val="24"/>
        </w:rPr>
        <w:t>protección</w:t>
      </w:r>
      <w:r w:rsidR="00385EDB">
        <w:rPr>
          <w:rFonts w:ascii="Times New Roman" w:hAnsi="Times New Roman" w:cs="Times New Roman"/>
          <w:bCs/>
          <w:sz w:val="24"/>
          <w:szCs w:val="24"/>
        </w:rPr>
        <w:t>,</w:t>
      </w:r>
      <w:proofErr w:type="gramEnd"/>
      <w:r w:rsidR="00230977">
        <w:rPr>
          <w:rFonts w:ascii="Times New Roman" w:hAnsi="Times New Roman" w:cs="Times New Roman"/>
          <w:bCs/>
          <w:sz w:val="24"/>
          <w:szCs w:val="24"/>
        </w:rPr>
        <w:t xml:space="preserve"> </w:t>
      </w:r>
      <w:r w:rsidR="00C5755A">
        <w:rPr>
          <w:rFonts w:ascii="Times New Roman" w:hAnsi="Times New Roman" w:cs="Times New Roman"/>
          <w:bCs/>
          <w:sz w:val="24"/>
          <w:szCs w:val="24"/>
        </w:rPr>
        <w:t>ostentan sus capacidades cognitivas y volitivas intactas</w:t>
      </w:r>
      <w:r w:rsidR="00230977">
        <w:rPr>
          <w:rFonts w:ascii="Times New Roman" w:hAnsi="Times New Roman" w:cs="Times New Roman"/>
          <w:bCs/>
          <w:sz w:val="24"/>
          <w:szCs w:val="24"/>
        </w:rPr>
        <w:t xml:space="preserve"> para así abordarlas durante el proceso de V.I</w:t>
      </w:r>
      <w:r w:rsidR="00C5755A">
        <w:rPr>
          <w:rFonts w:ascii="Times New Roman" w:hAnsi="Times New Roman" w:cs="Times New Roman"/>
          <w:bCs/>
          <w:sz w:val="24"/>
          <w:szCs w:val="24"/>
        </w:rPr>
        <w:t xml:space="preserve"> y no</w:t>
      </w:r>
      <w:r w:rsidR="009F58A4">
        <w:rPr>
          <w:rFonts w:ascii="Times New Roman" w:hAnsi="Times New Roman" w:cs="Times New Roman"/>
          <w:bCs/>
          <w:sz w:val="24"/>
          <w:szCs w:val="24"/>
        </w:rPr>
        <w:t xml:space="preserve"> porque </w:t>
      </w:r>
      <w:r w:rsidR="007C61D7">
        <w:rPr>
          <w:rFonts w:ascii="Times New Roman" w:hAnsi="Times New Roman" w:cs="Times New Roman"/>
          <w:bCs/>
          <w:sz w:val="24"/>
          <w:szCs w:val="24"/>
        </w:rPr>
        <w:t>conozcan sobre la existencia de la vulnerabilidad cognitiva y la diferencia con aquella</w:t>
      </w:r>
      <w:r w:rsidR="00D23BC2">
        <w:rPr>
          <w:rFonts w:ascii="Times New Roman" w:hAnsi="Times New Roman" w:cs="Times New Roman"/>
          <w:bCs/>
          <w:sz w:val="24"/>
          <w:szCs w:val="24"/>
        </w:rPr>
        <w:t>.</w:t>
      </w:r>
      <w:r w:rsidR="007C61D7">
        <w:rPr>
          <w:rFonts w:ascii="Times New Roman" w:hAnsi="Times New Roman" w:cs="Times New Roman"/>
          <w:bCs/>
          <w:sz w:val="24"/>
          <w:szCs w:val="24"/>
        </w:rPr>
        <w:t xml:space="preserve"> Dejando en evidencia que efectivamente </w:t>
      </w:r>
      <w:r w:rsidR="00732B5F">
        <w:rPr>
          <w:rFonts w:ascii="Times New Roman" w:hAnsi="Times New Roman" w:cs="Times New Roman"/>
          <w:bCs/>
          <w:sz w:val="24"/>
          <w:szCs w:val="24"/>
        </w:rPr>
        <w:t>l</w:t>
      </w:r>
      <w:r w:rsidR="00C5755A">
        <w:rPr>
          <w:rFonts w:ascii="Times New Roman" w:hAnsi="Times New Roman" w:cs="Times New Roman"/>
          <w:bCs/>
          <w:sz w:val="24"/>
          <w:szCs w:val="24"/>
        </w:rPr>
        <w:t>a población femenina que la presenta</w:t>
      </w:r>
      <w:r w:rsidR="00732B5F">
        <w:rPr>
          <w:rFonts w:ascii="Times New Roman" w:hAnsi="Times New Roman" w:cs="Times New Roman"/>
          <w:bCs/>
          <w:sz w:val="24"/>
          <w:szCs w:val="24"/>
        </w:rPr>
        <w:t xml:space="preserve"> esta condición se revictimice</w:t>
      </w:r>
      <w:r w:rsidR="001768B3">
        <w:rPr>
          <w:rFonts w:ascii="Times New Roman" w:hAnsi="Times New Roman" w:cs="Times New Roman"/>
          <w:bCs/>
          <w:sz w:val="24"/>
          <w:szCs w:val="24"/>
        </w:rPr>
        <w:t xml:space="preserve"> </w:t>
      </w:r>
      <w:r w:rsidR="00C5755A">
        <w:rPr>
          <w:rFonts w:ascii="Times New Roman" w:hAnsi="Times New Roman" w:cs="Times New Roman"/>
          <w:bCs/>
          <w:sz w:val="24"/>
          <w:szCs w:val="24"/>
        </w:rPr>
        <w:t>por parte del sistema judicial</w:t>
      </w:r>
      <w:r w:rsidR="00D23BC2">
        <w:rPr>
          <w:rFonts w:ascii="Times New Roman" w:hAnsi="Times New Roman" w:cs="Times New Roman"/>
          <w:bCs/>
          <w:sz w:val="24"/>
          <w:szCs w:val="24"/>
        </w:rPr>
        <w:t>,</w:t>
      </w:r>
      <w:r w:rsidR="00732B5F">
        <w:rPr>
          <w:rFonts w:ascii="Times New Roman" w:hAnsi="Times New Roman" w:cs="Times New Roman"/>
          <w:bCs/>
          <w:sz w:val="24"/>
          <w:szCs w:val="24"/>
        </w:rPr>
        <w:t xml:space="preserve"> que no le aborda de acuerdo a sus necesidades</w:t>
      </w:r>
      <w:r w:rsidR="009F58A4">
        <w:rPr>
          <w:rFonts w:ascii="Times New Roman" w:hAnsi="Times New Roman" w:cs="Times New Roman"/>
          <w:bCs/>
          <w:sz w:val="24"/>
          <w:szCs w:val="24"/>
        </w:rPr>
        <w:t xml:space="preserve"> según edad, estado </w:t>
      </w:r>
      <w:proofErr w:type="gramStart"/>
      <w:r w:rsidR="009F58A4">
        <w:rPr>
          <w:rFonts w:ascii="Times New Roman" w:hAnsi="Times New Roman" w:cs="Times New Roman"/>
          <w:bCs/>
          <w:sz w:val="24"/>
          <w:szCs w:val="24"/>
        </w:rPr>
        <w:t>civil</w:t>
      </w:r>
      <w:proofErr w:type="gramEnd"/>
      <w:r w:rsidR="009F58A4">
        <w:rPr>
          <w:rFonts w:ascii="Times New Roman" w:hAnsi="Times New Roman" w:cs="Times New Roman"/>
          <w:bCs/>
          <w:sz w:val="24"/>
          <w:szCs w:val="24"/>
        </w:rPr>
        <w:t xml:space="preserve"> así como su situación económica en relación a su agresor.</w:t>
      </w:r>
    </w:p>
    <w:p w14:paraId="0AE6132A" w14:textId="4AEEC4DD" w:rsidR="00E10342" w:rsidRPr="00A71BCB" w:rsidRDefault="00D31DDB" w:rsidP="00A71BCB">
      <w:pPr>
        <w:pStyle w:val="Ttulo2"/>
      </w:pPr>
      <w:bookmarkStart w:id="372" w:name="_Toc62476107"/>
      <w:bookmarkStart w:id="373" w:name="_Toc62476313"/>
      <w:bookmarkStart w:id="374" w:name="_Toc63688977"/>
      <w:r w:rsidRPr="00A71BCB">
        <w:t xml:space="preserve">5.5 Síntesis </w:t>
      </w:r>
      <w:r w:rsidR="00A71BCB">
        <w:t>g</w:t>
      </w:r>
      <w:r w:rsidRPr="00A71BCB">
        <w:t xml:space="preserve">eneral de los </w:t>
      </w:r>
      <w:r w:rsidR="00A71BCB">
        <w:t>r</w:t>
      </w:r>
      <w:r w:rsidRPr="00A71BCB">
        <w:t xml:space="preserve">esultados </w:t>
      </w:r>
      <w:r w:rsidR="00A71BCB">
        <w:t>o</w:t>
      </w:r>
      <w:r w:rsidRPr="00A71BCB">
        <w:t>btenidos</w:t>
      </w:r>
      <w:bookmarkEnd w:id="372"/>
      <w:bookmarkEnd w:id="373"/>
      <w:bookmarkEnd w:id="374"/>
    </w:p>
    <w:p w14:paraId="3779F026" w14:textId="4B6BB548" w:rsidR="00E10342" w:rsidRDefault="00D31DDB" w:rsidP="00A71BCB">
      <w:pPr>
        <w:pStyle w:val="Standard"/>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Luego de haber realizado un proceso de análisis en que se logró conocer, identificar y caracterizar</w:t>
      </w:r>
      <w:r w:rsidR="005F159A">
        <w:rPr>
          <w:rFonts w:ascii="Times New Roman" w:hAnsi="Times New Roman" w:cs="Times New Roman"/>
          <w:sz w:val="24"/>
          <w:szCs w:val="24"/>
        </w:rPr>
        <w:t xml:space="preserve"> </w:t>
      </w:r>
      <w:r>
        <w:rPr>
          <w:rFonts w:ascii="Times New Roman" w:hAnsi="Times New Roman" w:cs="Times New Roman"/>
          <w:sz w:val="24"/>
          <w:szCs w:val="24"/>
        </w:rPr>
        <w:t>las vulnerabilidades cognitivas en mujeres víctimas de violencia intrafamiliar con edades entre los 27 a 35 años, sujetas a atención en el Juzgado Contra la Violencia Doméstica</w:t>
      </w:r>
      <w:r w:rsidR="005F159A">
        <w:rPr>
          <w:rFonts w:ascii="Times New Roman" w:hAnsi="Times New Roman" w:cs="Times New Roman"/>
          <w:sz w:val="24"/>
          <w:szCs w:val="24"/>
        </w:rPr>
        <w:t xml:space="preserve"> </w:t>
      </w:r>
      <w:r>
        <w:rPr>
          <w:rFonts w:ascii="Times New Roman" w:hAnsi="Times New Roman" w:cs="Times New Roman"/>
          <w:sz w:val="24"/>
          <w:szCs w:val="24"/>
        </w:rPr>
        <w:t>II Circuito Judicial de San José en el periodo 2018-2019, por medio del uso de perspectivas teóricas y metodológicas, surge una serie de elementos finales en los resultados de la investigación que forman parte del conjunto de reflexiones organizadas en las presentes conclusiones, según los objetivos planteados a saber:</w:t>
      </w:r>
    </w:p>
    <w:p w14:paraId="5BFEBCFE" w14:textId="77777777" w:rsidR="00E10342" w:rsidRDefault="00D31DDB" w:rsidP="00A71BCB">
      <w:pPr>
        <w:pStyle w:val="Prrafodelista"/>
        <w:numPr>
          <w:ilvl w:val="0"/>
          <w:numId w:val="39"/>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 xml:space="preserve"> La mayoría de las mujeres solicitantes de medidas de protección en el período en estudio se desempeñan en el oficio doméstico con baja escolaridad, aunque también se encontraron mujeres con grados universitarios completos en ejercicio de su profesión, así como asalariadas con bachiller de educación media desempeñándose en oficios varios. En todos los casos, las víctimas asumen roles dentro del hogar y sus parejas únicamente como </w:t>
      </w:r>
      <w:r>
        <w:rPr>
          <w:rFonts w:ascii="Times New Roman" w:hAnsi="Times New Roman" w:cs="Times New Roman"/>
          <w:sz w:val="24"/>
          <w:szCs w:val="24"/>
          <w:lang w:val="es-SV"/>
        </w:rPr>
        <w:lastRenderedPageBreak/>
        <w:t>trabajadores fuera del hogar y proveedores en su mayoría, aunque en un caso se detectó desempleo por parte del agresor.</w:t>
      </w:r>
    </w:p>
    <w:p w14:paraId="56A53849"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Las mujeres para el período en estudio con índice de V. I. con edades de 28 y 33 años son quienes presentaron solicitudes de protección a su favor. Sin embargo, las agresiones hacia las mujeres se encuentran en todas las edades.</w:t>
      </w:r>
    </w:p>
    <w:p w14:paraId="1B6D2476"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El estado civil de las mujeres agredidas, predominante entre los casos estudiados es de solteras y en convivencia de hecho. También las hay casadas y divorciadas, pero en un menor número, lo cual deja entrever que la agresión no es propia de un estado civil.</w:t>
      </w:r>
    </w:p>
    <w:p w14:paraId="451C7179" w14:textId="689F9AE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En la mayoría de los casos, el número de hijos o hijas por mujer es de</w:t>
      </w:r>
      <w:r w:rsidR="009D14FA">
        <w:rPr>
          <w:rFonts w:ascii="Times New Roman" w:hAnsi="Times New Roman" w:cs="Times New Roman"/>
          <w:sz w:val="24"/>
          <w:szCs w:val="24"/>
          <w:lang w:val="es-SV"/>
        </w:rPr>
        <w:t xml:space="preserve"> dos</w:t>
      </w:r>
      <w:r>
        <w:rPr>
          <w:rFonts w:ascii="Times New Roman" w:hAnsi="Times New Roman" w:cs="Times New Roman"/>
          <w:sz w:val="24"/>
          <w:szCs w:val="24"/>
          <w:lang w:val="es-SV"/>
        </w:rPr>
        <w:t xml:space="preserve"> y mayormente personas menores de edad dependientes de los recursos económicos, sociales y emocionales de sus progenitoras y de los que las parejas de estas les brinden.</w:t>
      </w:r>
    </w:p>
    <w:p w14:paraId="6F3A080B" w14:textId="3103DE0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Prevalece como nacionalidad la costarricense entre las mujeres agredidas, lo cual contradice</w:t>
      </w:r>
      <w:r w:rsidR="00684E0E">
        <w:rPr>
          <w:rFonts w:ascii="Times New Roman" w:hAnsi="Times New Roman" w:cs="Times New Roman"/>
          <w:sz w:val="24"/>
          <w:szCs w:val="24"/>
          <w:lang w:val="es-SV"/>
        </w:rPr>
        <w:t xml:space="preserve"> el sentido común, </w:t>
      </w:r>
      <w:r>
        <w:rPr>
          <w:rFonts w:ascii="Times New Roman" w:hAnsi="Times New Roman" w:cs="Times New Roman"/>
          <w:sz w:val="24"/>
          <w:szCs w:val="24"/>
          <w:lang w:val="es-SV"/>
        </w:rPr>
        <w:t>de que las agresiones son perpetuadas en contra de las mujeres migrantes. A estas, les siguen las mujeres de origen nicaragüense, dominicano y colombiano, en ese orden específico.</w:t>
      </w:r>
    </w:p>
    <w:p w14:paraId="20538D14" w14:textId="559BC9B9"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El cantón con más índice de reportes por V. I. es el cantón de Goicoechea en sus distintos distritos. No obstante, en los</w:t>
      </w:r>
      <w:r w:rsidR="003123F9">
        <w:rPr>
          <w:rFonts w:ascii="Times New Roman" w:hAnsi="Times New Roman" w:cs="Times New Roman"/>
          <w:sz w:val="24"/>
          <w:szCs w:val="24"/>
          <w:lang w:val="es-SV"/>
        </w:rPr>
        <w:t xml:space="preserve"> </w:t>
      </w:r>
      <w:r w:rsidR="00684E0E">
        <w:rPr>
          <w:rFonts w:ascii="Times New Roman" w:hAnsi="Times New Roman" w:cs="Times New Roman"/>
          <w:sz w:val="24"/>
          <w:szCs w:val="24"/>
          <w:lang w:val="es-SV"/>
        </w:rPr>
        <w:t>seis</w:t>
      </w:r>
      <w:r>
        <w:rPr>
          <w:rFonts w:ascii="Times New Roman" w:hAnsi="Times New Roman" w:cs="Times New Roman"/>
          <w:sz w:val="24"/>
          <w:szCs w:val="24"/>
          <w:lang w:val="es-SV"/>
        </w:rPr>
        <w:t xml:space="preserve"> cantones restantes abarcados por el Juzgado Contra la V. I., de los</w:t>
      </w:r>
      <w:r w:rsidR="00387DF0">
        <w:rPr>
          <w:rFonts w:ascii="Times New Roman" w:hAnsi="Times New Roman" w:cs="Times New Roman"/>
          <w:sz w:val="24"/>
          <w:szCs w:val="24"/>
          <w:lang w:val="es-SV"/>
        </w:rPr>
        <w:t xml:space="preserve"> </w:t>
      </w:r>
      <w:r w:rsidR="00684E0E">
        <w:rPr>
          <w:rFonts w:ascii="Times New Roman" w:hAnsi="Times New Roman" w:cs="Times New Roman"/>
          <w:sz w:val="24"/>
          <w:szCs w:val="24"/>
          <w:lang w:val="es-SV"/>
        </w:rPr>
        <w:t xml:space="preserve">veinte </w:t>
      </w:r>
      <w:r>
        <w:rPr>
          <w:rFonts w:ascii="Times New Roman" w:hAnsi="Times New Roman" w:cs="Times New Roman"/>
          <w:sz w:val="24"/>
          <w:szCs w:val="24"/>
          <w:lang w:val="es-SV"/>
        </w:rPr>
        <w:t>cantones de la provincia de San José, también se reportan agresiones, pero en menor escala.</w:t>
      </w:r>
    </w:p>
    <w:p w14:paraId="4057EE24" w14:textId="3A4F2DAC"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Dentro de las vulnerabilidades cognitivas desataca la de dependencia económica por parte de las víctimas de V. I. frente a sus compañeros y excompañeros; y con ella, la desesperanza aprendida y un ciclo de V. I. activo donde se registra manipulación, amenazas constantes del agresor</w:t>
      </w:r>
      <w:r w:rsidR="003123F9">
        <w:rPr>
          <w:rFonts w:ascii="Times New Roman" w:hAnsi="Times New Roman" w:cs="Times New Roman"/>
          <w:sz w:val="24"/>
          <w:szCs w:val="24"/>
          <w:lang w:val="es-SV"/>
        </w:rPr>
        <w:t xml:space="preserve"> </w:t>
      </w:r>
      <w:r>
        <w:rPr>
          <w:rFonts w:ascii="Times New Roman" w:hAnsi="Times New Roman" w:cs="Times New Roman"/>
          <w:sz w:val="24"/>
          <w:szCs w:val="24"/>
          <w:lang w:val="es-SV"/>
        </w:rPr>
        <w:t>hacia la mujer agredida y en contra de sus hijos e hijas, en todas sus manifestaciones. En mayor grado, se registra la psicológica- emocional ante los malos tratos, palabras obscenas, y amenazas de muerte y de quitar sus hijos o hijas a sus madres.</w:t>
      </w:r>
    </w:p>
    <w:p w14:paraId="0857A590"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 xml:space="preserve">Dentro de los hallazgos en el Juzgado Contra la V. D. del II Circuito Judicial de San José puede citarse que este es un despacho desactualizado en cuanto al conocimiento sobre los avances en ciencias de la salud como la psicología, la psiquiatría y la neurociencia en lo referente al abordaje de la V. I.; así como desactualización en el conocimiento de </w:t>
      </w:r>
      <w:r>
        <w:rPr>
          <w:rFonts w:ascii="Times New Roman" w:hAnsi="Times New Roman" w:cs="Times New Roman"/>
          <w:sz w:val="24"/>
          <w:szCs w:val="24"/>
          <w:lang w:val="es-SV"/>
        </w:rPr>
        <w:lastRenderedPageBreak/>
        <w:t>vulnerabilidad cognitiva, habilidades cognitivas, efectos de la violencia en víctimas, y diferencias entre capacidad cognitiva y discapacidad intelectual.</w:t>
      </w:r>
    </w:p>
    <w:p w14:paraId="2577278F"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 xml:space="preserve">No se disponen pericias para determinar la </w:t>
      </w:r>
      <w:proofErr w:type="gramStart"/>
      <w:r>
        <w:rPr>
          <w:rFonts w:ascii="Times New Roman" w:hAnsi="Times New Roman" w:cs="Times New Roman"/>
          <w:sz w:val="24"/>
          <w:szCs w:val="24"/>
          <w:lang w:val="es-SV"/>
        </w:rPr>
        <w:t>vulnerabilidad cognitiva o las habilidades cognitivas</w:t>
      </w:r>
      <w:proofErr w:type="gramEnd"/>
      <w:r>
        <w:rPr>
          <w:rFonts w:ascii="Times New Roman" w:hAnsi="Times New Roman" w:cs="Times New Roman"/>
          <w:sz w:val="24"/>
          <w:szCs w:val="24"/>
          <w:lang w:val="es-SV"/>
        </w:rPr>
        <w:t xml:space="preserve"> en víctimas de V. I.</w:t>
      </w:r>
    </w:p>
    <w:p w14:paraId="67354CCC"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Se disponen únicamente pericias para valorar la discapacidad intelectual y determinar la comprensión de las medidas y sus consecuencias penales.</w:t>
      </w:r>
    </w:p>
    <w:p w14:paraId="02D022A0" w14:textId="52FC5CCF"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 xml:space="preserve">Pareciera que todos los casos que se presentan no tienen características propias, ya que en su mayoría ordenan las mismas medidas j), k) y q), pese a la lista de medidas de protección que brinda la Ley Contra la V. D. y la posibilidad de dar alguna otra, según el criterio </w:t>
      </w:r>
      <w:r w:rsidR="00922853">
        <w:rPr>
          <w:rFonts w:ascii="Times New Roman" w:hAnsi="Times New Roman" w:cs="Times New Roman"/>
          <w:sz w:val="24"/>
          <w:szCs w:val="24"/>
          <w:lang w:val="es-SV"/>
        </w:rPr>
        <w:t xml:space="preserve">técnico así la experticia </w:t>
      </w:r>
      <w:r w:rsidR="00387DF0">
        <w:rPr>
          <w:rFonts w:ascii="Times New Roman" w:hAnsi="Times New Roman" w:cs="Times New Roman"/>
          <w:sz w:val="24"/>
          <w:szCs w:val="24"/>
          <w:lang w:val="es-SV"/>
        </w:rPr>
        <w:t>de la persona juzgadora</w:t>
      </w:r>
      <w:r w:rsidR="00922853">
        <w:rPr>
          <w:rFonts w:ascii="Times New Roman" w:hAnsi="Times New Roman" w:cs="Times New Roman"/>
          <w:sz w:val="24"/>
          <w:szCs w:val="24"/>
          <w:lang w:val="es-SV"/>
        </w:rPr>
        <w:t xml:space="preserve"> lo cual tiene amparo</w:t>
      </w:r>
      <w:r w:rsidR="001768B3">
        <w:rPr>
          <w:rFonts w:ascii="Times New Roman" w:hAnsi="Times New Roman" w:cs="Times New Roman"/>
          <w:sz w:val="24"/>
          <w:szCs w:val="24"/>
          <w:lang w:val="es-SV"/>
        </w:rPr>
        <w:t xml:space="preserve"> </w:t>
      </w:r>
      <w:r w:rsidR="00387DF0">
        <w:rPr>
          <w:rFonts w:ascii="Times New Roman" w:hAnsi="Times New Roman" w:cs="Times New Roman"/>
          <w:sz w:val="24"/>
          <w:szCs w:val="24"/>
          <w:lang w:val="es-SV"/>
        </w:rPr>
        <w:t xml:space="preserve">en el principio constitucional de Independencia Judicial, el cual indica que </w:t>
      </w:r>
      <w:proofErr w:type="gramStart"/>
      <w:r w:rsidR="00387DF0">
        <w:rPr>
          <w:rFonts w:ascii="Times New Roman" w:hAnsi="Times New Roman" w:cs="Times New Roman"/>
          <w:sz w:val="24"/>
          <w:szCs w:val="24"/>
          <w:lang w:val="es-SV"/>
        </w:rPr>
        <w:t>la el</w:t>
      </w:r>
      <w:proofErr w:type="gramEnd"/>
      <w:r w:rsidR="00387DF0">
        <w:rPr>
          <w:rFonts w:ascii="Times New Roman" w:hAnsi="Times New Roman" w:cs="Times New Roman"/>
          <w:sz w:val="24"/>
          <w:szCs w:val="24"/>
          <w:lang w:val="es-SV"/>
        </w:rPr>
        <w:t xml:space="preserve"> juez o jueza se encuentran amparo al respetar </w:t>
      </w:r>
      <w:r w:rsidR="00922853">
        <w:rPr>
          <w:rFonts w:ascii="Times New Roman" w:hAnsi="Times New Roman" w:cs="Times New Roman"/>
          <w:sz w:val="24"/>
          <w:szCs w:val="24"/>
          <w:lang w:val="es-SV"/>
        </w:rPr>
        <w:t xml:space="preserve">la </w:t>
      </w:r>
      <w:r w:rsidR="00387DF0">
        <w:rPr>
          <w:rFonts w:ascii="Times New Roman" w:hAnsi="Times New Roman" w:cs="Times New Roman"/>
          <w:sz w:val="24"/>
          <w:szCs w:val="24"/>
          <w:lang w:val="es-SV"/>
        </w:rPr>
        <w:t>Constitución y la ley</w:t>
      </w:r>
      <w:r w:rsidR="00922853">
        <w:rPr>
          <w:rFonts w:ascii="Times New Roman" w:hAnsi="Times New Roman" w:cs="Times New Roman"/>
          <w:sz w:val="24"/>
          <w:szCs w:val="24"/>
          <w:lang w:val="es-SV"/>
        </w:rPr>
        <w:t>.</w:t>
      </w:r>
    </w:p>
    <w:p w14:paraId="05CD18EA"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No se realizan seguimientos presenciales, aplicando pericias a las víctimas o entrevistas por personas juzgadoras o profesional alguno del Departamento de Trabajo Social y Psicología, sino que solo se brinda atención telefónica y, en algunos casos, esto no se consigna. En otros casos, al primer intento fallido de comunicarse con la víctima, basta una constancia para dar por concluido el seguimiento.</w:t>
      </w:r>
    </w:p>
    <w:p w14:paraId="284172BF"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No se coordinan con otras instituciones los seguimientos o las ayudas esenciales para las víctimas, lo cual les garantizaría romper con el ciclo de la V. D., siendo la dependencia económica la vulnerabilidad cognitiva prevaleciente, pese a constar la existencia de redes de apoyo a las cuales acudir.</w:t>
      </w:r>
    </w:p>
    <w:p w14:paraId="71DBDA86"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En los casos con testimonios de piezas para el Ministerio Público, el Juzgado no da seguimiento a las diligencias que esta dependencia judicial brinda ni al estado de las víctimas.</w:t>
      </w:r>
    </w:p>
    <w:p w14:paraId="1A5B2CC6" w14:textId="765E7AEB"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 xml:space="preserve">Si bien el juzgado busca garantizar acceso a la justicia con la atención y el otorgamiento de las medidas de protección, lo cierto es que </w:t>
      </w:r>
      <w:r w:rsidR="003123F9">
        <w:rPr>
          <w:rFonts w:ascii="Times New Roman" w:hAnsi="Times New Roman" w:cs="Times New Roman"/>
          <w:sz w:val="24"/>
          <w:szCs w:val="24"/>
          <w:lang w:val="es-SV"/>
        </w:rPr>
        <w:t>este</w:t>
      </w:r>
      <w:r>
        <w:rPr>
          <w:rFonts w:ascii="Times New Roman" w:hAnsi="Times New Roman" w:cs="Times New Roman"/>
          <w:sz w:val="24"/>
          <w:szCs w:val="24"/>
          <w:lang w:val="es-SV"/>
        </w:rPr>
        <w:t xml:space="preserve"> no es más que un cumplimiento estadístico y no real, porque no se abordan los procesos de forma individualizada, sino de forma masiva, ante la gran cantidad circulante del despacho. Ello significa que no interesan las ocasiones en que una mujer asiste al despacho porque, aunque siempre se le darán medidas de protección</w:t>
      </w:r>
      <w:r w:rsidR="003123F9">
        <w:rPr>
          <w:rFonts w:ascii="Times New Roman" w:hAnsi="Times New Roman" w:cs="Times New Roman"/>
          <w:sz w:val="24"/>
          <w:szCs w:val="24"/>
          <w:lang w:val="es-SV"/>
        </w:rPr>
        <w:t>, pareciendo</w:t>
      </w:r>
      <w:r>
        <w:rPr>
          <w:rFonts w:ascii="Times New Roman" w:hAnsi="Times New Roman" w:cs="Times New Roman"/>
          <w:sz w:val="24"/>
          <w:szCs w:val="24"/>
          <w:lang w:val="es-SV"/>
        </w:rPr>
        <w:t xml:space="preserve"> que con ello se cumple con el </w:t>
      </w:r>
      <w:r>
        <w:rPr>
          <w:rFonts w:ascii="Times New Roman" w:hAnsi="Times New Roman" w:cs="Times New Roman"/>
          <w:sz w:val="24"/>
          <w:szCs w:val="24"/>
          <w:lang w:val="es-SV"/>
        </w:rPr>
        <w:lastRenderedPageBreak/>
        <w:t>principio de acceso a la justicia, al no abordarse la problemática caso por caso no se da una solución integral y las mujeres no logran empoderarse ni romper el ciclo de la V. I.</w:t>
      </w:r>
    </w:p>
    <w:p w14:paraId="36D15AF5"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Se encuentran subutilizados los siguientes datos que se solicitan al momento de la solicitud de medidas de protección: edad, ocupación, número de hijos o hijas, nacionalidad y número de gestiones realizadas.</w:t>
      </w:r>
    </w:p>
    <w:p w14:paraId="189B373B" w14:textId="77777777"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No se utiliza de forma correcta el Protocolo de Protección a Víctimas de V. I.</w:t>
      </w:r>
    </w:p>
    <w:p w14:paraId="15A29E30" w14:textId="0385A835" w:rsidR="00E10342" w:rsidRDefault="00D31DDB" w:rsidP="00A71BCB">
      <w:pPr>
        <w:pStyle w:val="Prrafodelista"/>
        <w:numPr>
          <w:ilvl w:val="0"/>
          <w:numId w:val="12"/>
        </w:numPr>
        <w:tabs>
          <w:tab w:val="left" w:pos="1134"/>
        </w:tabs>
        <w:spacing w:after="0" w:line="360" w:lineRule="auto"/>
        <w:ind w:left="0" w:firstLine="709"/>
        <w:jc w:val="both"/>
        <w:rPr>
          <w:rFonts w:ascii="Times New Roman" w:hAnsi="Times New Roman" w:cs="Times New Roman"/>
          <w:sz w:val="24"/>
          <w:szCs w:val="24"/>
          <w:lang w:val="es-SV"/>
        </w:rPr>
      </w:pPr>
      <w:r>
        <w:rPr>
          <w:rFonts w:ascii="Times New Roman" w:hAnsi="Times New Roman" w:cs="Times New Roman"/>
          <w:sz w:val="24"/>
          <w:szCs w:val="24"/>
          <w:lang w:val="es-SV"/>
        </w:rPr>
        <w:t>No existe un protocolo exclusivo para el abordaje de la vulnerabilidad cognitiva.</w:t>
      </w:r>
    </w:p>
    <w:p w14:paraId="1A9B636B" w14:textId="77777777" w:rsidR="00E10342" w:rsidRDefault="00D31DDB" w:rsidP="00A71BCB">
      <w:pPr>
        <w:pStyle w:val="Standard"/>
        <w:tabs>
          <w:tab w:val="left" w:pos="1134"/>
        </w:tabs>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19. Existen altos volúmenes de expedientes que tramitar diariamente y son los mismos empleados los que reciben a las personas usuarias para gestiones nuevas. Esto hace que cobre relevancia la sensibilidad subjetiva que tenga el técnico o la persona juzgadora para el abordaje de los asuntos a su cargo.</w:t>
      </w:r>
    </w:p>
    <w:p w14:paraId="5641BA64" w14:textId="0AB4BCBF" w:rsidR="00E10342" w:rsidRDefault="00D31DDB" w:rsidP="00A71BCB">
      <w:pPr>
        <w:pStyle w:val="Standard"/>
        <w:tabs>
          <w:tab w:val="left" w:pos="1134"/>
        </w:tabs>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20. Al Juzgado le interesa saber si la persona agresora comprende las medidas impuestas, de ahí que las pericias forenses sean aplicables solo al agresor.</w:t>
      </w:r>
      <w:r w:rsidR="005F159A">
        <w:rPr>
          <w:rFonts w:ascii="Times New Roman" w:hAnsi="Times New Roman" w:cs="Times New Roman"/>
          <w:bCs/>
          <w:sz w:val="24"/>
          <w:szCs w:val="24"/>
        </w:rPr>
        <w:t xml:space="preserve"> </w:t>
      </w:r>
      <w:r>
        <w:rPr>
          <w:rFonts w:ascii="Times New Roman" w:hAnsi="Times New Roman" w:cs="Times New Roman"/>
          <w:bCs/>
          <w:sz w:val="24"/>
          <w:szCs w:val="24"/>
        </w:rPr>
        <w:t>Asimismo, es importante que el agresor comprenda las consecuencias de su no observación, lo que significa que, aunque la ley dispone proteger a la víctima, con esta interpretación, a quien se tolera y ampara es al agresor y no a la víctima, y se da de forma disimulada un “</w:t>
      </w:r>
      <w:r>
        <w:rPr>
          <w:rFonts w:ascii="Times New Roman" w:hAnsi="Times New Roman" w:cs="Times New Roman"/>
          <w:bCs/>
          <w:i/>
          <w:sz w:val="24"/>
          <w:szCs w:val="24"/>
        </w:rPr>
        <w:t>in dubio</w:t>
      </w:r>
      <w:r>
        <w:rPr>
          <w:rFonts w:ascii="Times New Roman" w:hAnsi="Times New Roman" w:cs="Times New Roman"/>
          <w:bCs/>
          <w:sz w:val="24"/>
          <w:szCs w:val="24"/>
        </w:rPr>
        <w:t xml:space="preserve"> por agresor” ante la duda del entendimiento. Esto no es correcto, pues la Ley Contra la V. D. dispone un </w:t>
      </w:r>
      <w:proofErr w:type="spellStart"/>
      <w:r>
        <w:rPr>
          <w:rFonts w:ascii="Times New Roman" w:hAnsi="Times New Roman" w:cs="Times New Roman"/>
          <w:bCs/>
          <w:i/>
          <w:sz w:val="24"/>
          <w:szCs w:val="24"/>
        </w:rPr>
        <w:t>indubio</w:t>
      </w:r>
      <w:proofErr w:type="spellEnd"/>
      <w:r>
        <w:rPr>
          <w:rFonts w:ascii="Times New Roman" w:hAnsi="Times New Roman" w:cs="Times New Roman"/>
          <w:bCs/>
          <w:i/>
          <w:sz w:val="24"/>
          <w:szCs w:val="24"/>
        </w:rPr>
        <w:t xml:space="preserve"> </w:t>
      </w:r>
      <w:proofErr w:type="gramStart"/>
      <w:r>
        <w:rPr>
          <w:rFonts w:ascii="Times New Roman" w:hAnsi="Times New Roman" w:cs="Times New Roman"/>
          <w:bCs/>
          <w:i/>
          <w:sz w:val="24"/>
          <w:szCs w:val="24"/>
        </w:rPr>
        <w:t>pro víctima</w:t>
      </w:r>
      <w:proofErr w:type="gramEnd"/>
      <w:r>
        <w:rPr>
          <w:rFonts w:ascii="Times New Roman" w:hAnsi="Times New Roman" w:cs="Times New Roman"/>
          <w:bCs/>
          <w:sz w:val="24"/>
          <w:szCs w:val="24"/>
        </w:rPr>
        <w:t>.</w:t>
      </w:r>
      <w:r w:rsidR="00922853">
        <w:rPr>
          <w:rFonts w:ascii="Times New Roman" w:hAnsi="Times New Roman" w:cs="Times New Roman"/>
          <w:bCs/>
          <w:sz w:val="24"/>
          <w:szCs w:val="24"/>
        </w:rPr>
        <w:t xml:space="preserve"> De ahí que también la imperiosa necesidad de </w:t>
      </w:r>
      <w:r w:rsidR="00C87FFD">
        <w:rPr>
          <w:rFonts w:ascii="Times New Roman" w:hAnsi="Times New Roman" w:cs="Times New Roman"/>
          <w:bCs/>
          <w:sz w:val="24"/>
          <w:szCs w:val="24"/>
        </w:rPr>
        <w:t xml:space="preserve">realizar </w:t>
      </w:r>
      <w:r w:rsidR="00922853">
        <w:rPr>
          <w:rFonts w:ascii="Times New Roman" w:hAnsi="Times New Roman" w:cs="Times New Roman"/>
          <w:bCs/>
          <w:sz w:val="24"/>
          <w:szCs w:val="24"/>
        </w:rPr>
        <w:t>pericias</w:t>
      </w:r>
      <w:r w:rsidR="00C87FFD">
        <w:rPr>
          <w:rFonts w:ascii="Times New Roman" w:hAnsi="Times New Roman" w:cs="Times New Roman"/>
          <w:bCs/>
          <w:sz w:val="24"/>
          <w:szCs w:val="24"/>
        </w:rPr>
        <w:t xml:space="preserve"> forenses </w:t>
      </w:r>
      <w:r w:rsidR="00922853">
        <w:rPr>
          <w:rFonts w:ascii="Times New Roman" w:hAnsi="Times New Roman" w:cs="Times New Roman"/>
          <w:bCs/>
          <w:sz w:val="24"/>
          <w:szCs w:val="24"/>
        </w:rPr>
        <w:t>en aras de conocer si las mujeres víctimas de V.I presentan vulnerabilidad cognitiva,</w:t>
      </w:r>
      <w:r w:rsidR="001768B3">
        <w:rPr>
          <w:rFonts w:ascii="Times New Roman" w:hAnsi="Times New Roman" w:cs="Times New Roman"/>
          <w:bCs/>
          <w:sz w:val="24"/>
          <w:szCs w:val="24"/>
        </w:rPr>
        <w:t xml:space="preserve"> </w:t>
      </w:r>
      <w:r w:rsidR="00C87FFD">
        <w:rPr>
          <w:rFonts w:ascii="Times New Roman" w:hAnsi="Times New Roman" w:cs="Times New Roman"/>
          <w:bCs/>
          <w:sz w:val="24"/>
          <w:szCs w:val="24"/>
        </w:rPr>
        <w:t>y que</w:t>
      </w:r>
      <w:r w:rsidR="001768B3">
        <w:rPr>
          <w:rFonts w:ascii="Times New Roman" w:hAnsi="Times New Roman" w:cs="Times New Roman"/>
          <w:bCs/>
          <w:sz w:val="24"/>
          <w:szCs w:val="24"/>
        </w:rPr>
        <w:t xml:space="preserve"> </w:t>
      </w:r>
      <w:r w:rsidR="00922853">
        <w:rPr>
          <w:rFonts w:ascii="Times New Roman" w:hAnsi="Times New Roman" w:cs="Times New Roman"/>
          <w:bCs/>
          <w:sz w:val="24"/>
          <w:szCs w:val="24"/>
        </w:rPr>
        <w:t>al igual que con el agresor</w:t>
      </w:r>
      <w:r w:rsidR="001768B3">
        <w:rPr>
          <w:rFonts w:ascii="Times New Roman" w:hAnsi="Times New Roman" w:cs="Times New Roman"/>
          <w:bCs/>
          <w:sz w:val="24"/>
          <w:szCs w:val="24"/>
        </w:rPr>
        <w:t xml:space="preserve"> </w:t>
      </w:r>
      <w:r w:rsidR="00922853">
        <w:rPr>
          <w:rFonts w:ascii="Times New Roman" w:hAnsi="Times New Roman" w:cs="Times New Roman"/>
          <w:bCs/>
          <w:sz w:val="24"/>
          <w:szCs w:val="24"/>
        </w:rPr>
        <w:t>se logre</w:t>
      </w:r>
      <w:r w:rsidR="00C87FFD">
        <w:rPr>
          <w:rFonts w:ascii="Times New Roman" w:hAnsi="Times New Roman" w:cs="Times New Roman"/>
          <w:bCs/>
          <w:sz w:val="24"/>
          <w:szCs w:val="24"/>
        </w:rPr>
        <w:t>n</w:t>
      </w:r>
      <w:r w:rsidR="00922853">
        <w:rPr>
          <w:rFonts w:ascii="Times New Roman" w:hAnsi="Times New Roman" w:cs="Times New Roman"/>
          <w:bCs/>
          <w:sz w:val="24"/>
          <w:szCs w:val="24"/>
        </w:rPr>
        <w:t xml:space="preserve"> determinar si</w:t>
      </w:r>
      <w:r w:rsidR="001768B3">
        <w:rPr>
          <w:rFonts w:ascii="Times New Roman" w:hAnsi="Times New Roman" w:cs="Times New Roman"/>
          <w:bCs/>
          <w:sz w:val="24"/>
          <w:szCs w:val="24"/>
        </w:rPr>
        <w:t xml:space="preserve"> </w:t>
      </w:r>
      <w:r w:rsidR="00C87FFD">
        <w:rPr>
          <w:rFonts w:ascii="Times New Roman" w:hAnsi="Times New Roman" w:cs="Times New Roman"/>
          <w:bCs/>
          <w:sz w:val="24"/>
          <w:szCs w:val="24"/>
        </w:rPr>
        <w:t xml:space="preserve">las mujeres con esta condición </w:t>
      </w:r>
      <w:r w:rsidR="00922853">
        <w:rPr>
          <w:rFonts w:ascii="Times New Roman" w:hAnsi="Times New Roman" w:cs="Times New Roman"/>
          <w:bCs/>
          <w:sz w:val="24"/>
          <w:szCs w:val="24"/>
        </w:rPr>
        <w:t>logran comprender los alcances e</w:t>
      </w:r>
      <w:r w:rsidR="001768B3">
        <w:rPr>
          <w:rFonts w:ascii="Times New Roman" w:hAnsi="Times New Roman" w:cs="Times New Roman"/>
          <w:bCs/>
          <w:sz w:val="24"/>
          <w:szCs w:val="24"/>
        </w:rPr>
        <w:t xml:space="preserve"> </w:t>
      </w:r>
      <w:r w:rsidR="00922853">
        <w:rPr>
          <w:rFonts w:ascii="Times New Roman" w:hAnsi="Times New Roman" w:cs="Times New Roman"/>
          <w:bCs/>
          <w:sz w:val="24"/>
          <w:szCs w:val="24"/>
        </w:rPr>
        <w:t xml:space="preserve">importancia de las medidas de </w:t>
      </w:r>
      <w:proofErr w:type="gramStart"/>
      <w:r w:rsidR="00922853">
        <w:rPr>
          <w:rFonts w:ascii="Times New Roman" w:hAnsi="Times New Roman" w:cs="Times New Roman"/>
          <w:bCs/>
          <w:sz w:val="24"/>
          <w:szCs w:val="24"/>
        </w:rPr>
        <w:t>protección</w:t>
      </w:r>
      <w:proofErr w:type="gramEnd"/>
      <w:r w:rsidR="00922853">
        <w:rPr>
          <w:rFonts w:ascii="Times New Roman" w:hAnsi="Times New Roman" w:cs="Times New Roman"/>
          <w:bCs/>
          <w:sz w:val="24"/>
          <w:szCs w:val="24"/>
        </w:rPr>
        <w:t xml:space="preserve"> así como su cumplimiento.</w:t>
      </w:r>
    </w:p>
    <w:p w14:paraId="68C91E72" w14:textId="77777777" w:rsidR="00922853" w:rsidRDefault="00922853" w:rsidP="00A71BCB">
      <w:pPr>
        <w:pStyle w:val="Standard"/>
        <w:tabs>
          <w:tab w:val="left" w:pos="1134"/>
        </w:tabs>
        <w:spacing w:after="0" w:line="360" w:lineRule="auto"/>
        <w:ind w:firstLine="709"/>
        <w:jc w:val="both"/>
      </w:pPr>
    </w:p>
    <w:p w14:paraId="338AC4D4" w14:textId="782E0353" w:rsidR="002A4C9C" w:rsidRDefault="00D31DDB" w:rsidP="00A71BCB">
      <w:pPr>
        <w:pStyle w:val="Standard"/>
        <w:tabs>
          <w:tab w:val="left" w:pos="1134"/>
        </w:tabs>
        <w:spacing w:after="0" w:line="360" w:lineRule="auto"/>
        <w:ind w:firstLine="709"/>
        <w:jc w:val="both"/>
        <w:rPr>
          <w:rFonts w:ascii="Times New Roman" w:hAnsi="Times New Roman" w:cs="Times New Roman"/>
          <w:bCs/>
          <w:sz w:val="24"/>
          <w:szCs w:val="24"/>
        </w:rPr>
        <w:sectPr w:rsidR="002A4C9C" w:rsidSect="007C0BE3">
          <w:pgSz w:w="12240" w:h="15840"/>
          <w:pgMar w:top="1418" w:right="1418" w:bottom="1418" w:left="1418" w:header="709" w:footer="709" w:gutter="680"/>
          <w:cols w:space="720"/>
        </w:sectPr>
      </w:pPr>
      <w:r>
        <w:rPr>
          <w:rFonts w:ascii="Times New Roman" w:hAnsi="Times New Roman" w:cs="Times New Roman"/>
          <w:bCs/>
          <w:sz w:val="24"/>
          <w:szCs w:val="24"/>
        </w:rPr>
        <w:t>21. Llama la atención que el Despacho en estudio no sea más dinámico al momento de otorgar medidas de protección y se limite a brindar una protección básica, pese a poder brindar medidas atípicas según la Ley de V. D. vigente. En este sentido, no aplica medidas que garanticen a las víctimas de V. I.</w:t>
      </w:r>
      <w:r w:rsidR="005F159A">
        <w:rPr>
          <w:rFonts w:ascii="Times New Roman" w:hAnsi="Times New Roman" w:cs="Times New Roman"/>
          <w:bCs/>
          <w:sz w:val="24"/>
          <w:szCs w:val="24"/>
        </w:rPr>
        <w:t xml:space="preserve"> </w:t>
      </w:r>
      <w:r>
        <w:rPr>
          <w:rFonts w:ascii="Times New Roman" w:hAnsi="Times New Roman" w:cs="Times New Roman"/>
          <w:bCs/>
          <w:sz w:val="24"/>
          <w:szCs w:val="24"/>
        </w:rPr>
        <w:t>no perpetuar dicha violencia y romper su ciclo, si la vulnerabilidad cognitiva es la dependencia económica. Tal es el caso del otorgamiento de las cuotas alimentarias.</w:t>
      </w:r>
    </w:p>
    <w:p w14:paraId="0CEEEB9C" w14:textId="77777777" w:rsidR="00E10342" w:rsidRPr="002A4C9C" w:rsidRDefault="00D31DDB" w:rsidP="002A4C9C">
      <w:pPr>
        <w:pStyle w:val="Ttulo1"/>
      </w:pPr>
      <w:bookmarkStart w:id="375" w:name="_Toc61277018"/>
      <w:bookmarkStart w:id="376" w:name="__RefHeading__27519_1894434827"/>
      <w:bookmarkStart w:id="377" w:name="_Toc62463368"/>
      <w:bookmarkStart w:id="378" w:name="_Toc62476108"/>
      <w:bookmarkStart w:id="379" w:name="_Toc62476314"/>
      <w:bookmarkStart w:id="380" w:name="_Toc63688978"/>
      <w:r w:rsidRPr="002A4C9C">
        <w:lastRenderedPageBreak/>
        <w:t>Capítulo VI</w:t>
      </w:r>
      <w:bookmarkEnd w:id="375"/>
      <w:bookmarkEnd w:id="376"/>
      <w:bookmarkEnd w:id="377"/>
      <w:bookmarkEnd w:id="378"/>
      <w:bookmarkEnd w:id="379"/>
      <w:bookmarkEnd w:id="380"/>
    </w:p>
    <w:p w14:paraId="44D16A75" w14:textId="77777777" w:rsidR="00E10342" w:rsidRPr="002A4C9C" w:rsidRDefault="00D31DDB" w:rsidP="002A4C9C">
      <w:pPr>
        <w:pStyle w:val="Ttulo1"/>
      </w:pPr>
      <w:bookmarkStart w:id="381" w:name="_Toc61277019"/>
      <w:bookmarkStart w:id="382" w:name="__RefHeading__27521_1894434827"/>
      <w:bookmarkStart w:id="383" w:name="_Toc62463369"/>
      <w:bookmarkStart w:id="384" w:name="_Toc62476109"/>
      <w:bookmarkStart w:id="385" w:name="_Toc62476315"/>
      <w:bookmarkStart w:id="386" w:name="_Toc63688979"/>
      <w:r w:rsidRPr="002A4C9C">
        <w:t>Conclusiones y Recomendaciones</w:t>
      </w:r>
      <w:bookmarkEnd w:id="381"/>
      <w:bookmarkEnd w:id="382"/>
      <w:bookmarkEnd w:id="383"/>
      <w:bookmarkEnd w:id="384"/>
      <w:bookmarkEnd w:id="385"/>
      <w:bookmarkEnd w:id="386"/>
    </w:p>
    <w:p w14:paraId="2FBD0865" w14:textId="569AF7B6" w:rsidR="00E10342" w:rsidRDefault="00D31DDB" w:rsidP="002A4C9C">
      <w:pPr>
        <w:pStyle w:val="Ttulo2"/>
      </w:pPr>
      <w:bookmarkStart w:id="387" w:name="_Toc62476110"/>
      <w:bookmarkStart w:id="388" w:name="_Toc62476316"/>
      <w:bookmarkStart w:id="389" w:name="_Toc63688980"/>
      <w:r>
        <w:t>6.1 Conclusiones</w:t>
      </w:r>
      <w:bookmarkEnd w:id="387"/>
      <w:bookmarkEnd w:id="388"/>
      <w:bookmarkEnd w:id="389"/>
    </w:p>
    <w:p w14:paraId="1B8603EC" w14:textId="77777777" w:rsidR="00E10342" w:rsidRDefault="00D31DDB" w:rsidP="002A4C9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El fenómeno denominado V. I. contra las mujeres se ha mantenido a lo largo de la historia, lo que la ha convertido en punto de interés en aras de lograr comprender e intervenir, así como prevenir, de ahí que se ha abordado tanto por organismos internacionales como por muchas instituciones a nivel interno, desde distintas áreas del saber.</w:t>
      </w:r>
    </w:p>
    <w:p w14:paraId="7F512609" w14:textId="3E4B8694" w:rsidR="00E10342" w:rsidRDefault="00D31DDB" w:rsidP="002A4C9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Lo anterior se debe a las múltiples causas de la V. I., así como su indudable afectación de los derechos humanos, en este caso, los de la mujer, ya que se le vulnera a nivel físico, sexual, patrimonial, psicológico y emocional.</w:t>
      </w:r>
    </w:p>
    <w:p w14:paraId="672D2C0A" w14:textId="037B30AE" w:rsidR="00E10342" w:rsidRDefault="00D31DDB" w:rsidP="002A4C9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Según estudios realizados a lo largo de la historia, la V. I. no tiene edad; sin embargo, para el presente estudio, se ha determinado que la población mayormente atendida por el Juzgado Contra la Violencia Intrafamiliar del II Circuito Judicial de San José</w:t>
      </w:r>
      <w:r w:rsidR="005F159A">
        <w:rPr>
          <w:rFonts w:ascii="Times New Roman" w:hAnsi="Times New Roman" w:cs="Times New Roman"/>
          <w:bCs/>
          <w:sz w:val="24"/>
          <w:szCs w:val="24"/>
        </w:rPr>
        <w:t xml:space="preserve"> </w:t>
      </w:r>
      <w:r>
        <w:rPr>
          <w:rFonts w:ascii="Times New Roman" w:hAnsi="Times New Roman" w:cs="Times New Roman"/>
          <w:bCs/>
          <w:sz w:val="24"/>
          <w:szCs w:val="24"/>
        </w:rPr>
        <w:t xml:space="preserve">corresponde a mujeres con edades promedio de 27 y 33 años, con un nivel educativo muy variado, pues va desde la baja escolaridad hasta la educación universitaria completa, en promedio en madres con dos hijos o hijas, y vecinas de </w:t>
      </w:r>
      <w:r w:rsidR="003123F9">
        <w:rPr>
          <w:rFonts w:ascii="Times New Roman" w:hAnsi="Times New Roman" w:cs="Times New Roman"/>
          <w:bCs/>
          <w:sz w:val="24"/>
          <w:szCs w:val="24"/>
        </w:rPr>
        <w:t>seis</w:t>
      </w:r>
      <w:r>
        <w:rPr>
          <w:rFonts w:ascii="Times New Roman" w:hAnsi="Times New Roman" w:cs="Times New Roman"/>
          <w:bCs/>
          <w:sz w:val="24"/>
          <w:szCs w:val="24"/>
        </w:rPr>
        <w:t xml:space="preserve"> cantones de la provincia de San José, con predominio del cantón de Goicoechea.</w:t>
      </w:r>
    </w:p>
    <w:p w14:paraId="4AFF76BD" w14:textId="355B801A" w:rsidR="00E10342" w:rsidRDefault="00D31DDB" w:rsidP="002A4C9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Es indudable que la V. I. trae consigo múltiples consecuencias en cuanto a los costos humanos, sociales, económicos, estatales y psicológicos, de ahí la preocupación que tiene su aumento en la actualidad.</w:t>
      </w:r>
    </w:p>
    <w:p w14:paraId="457B1B35" w14:textId="1D28CFAA" w:rsidR="00E10342" w:rsidRDefault="00D31DDB" w:rsidP="002A4C9C">
      <w:pPr>
        <w:pStyle w:val="Standard"/>
        <w:spacing w:after="0" w:line="360" w:lineRule="auto"/>
        <w:ind w:firstLine="709"/>
        <w:jc w:val="both"/>
      </w:pPr>
      <w:r>
        <w:rPr>
          <w:rFonts w:ascii="Times New Roman" w:hAnsi="Times New Roman" w:cs="Times New Roman"/>
          <w:bCs/>
          <w:sz w:val="24"/>
          <w:szCs w:val="24"/>
        </w:rPr>
        <w:t>Por lo tanto, en el presente estudio, se efectuó una revisión exhaustiva de la literatura relacionada al objeto de estudio desde el punto de vista conceptual y desde la existencia de compromiso de las habilidades cognitivas frente a la violencia. Del mismo modo, se analizó si el fenómeno de la V. I. se aborda contemplando o no los compromisos cognitivos que sus víctimas eventualmente presenten ante el sistema judicial costarricense o si, por el contrario, las mujeres se revictimizan por el mismo sistema que debe protegerlas por disposición legal, nacional o internacional.</w:t>
      </w:r>
    </w:p>
    <w:p w14:paraId="1ECFA556" w14:textId="609BA59D" w:rsidR="00E10342" w:rsidRDefault="00D31DDB" w:rsidP="002A4C9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Por ello, una vez realizado el estudio, es posible indicar, como conclusión, que si bien se indica que el Estado costarricense en aplicación de normativa nacional e</w:t>
      </w:r>
      <w:r w:rsidR="005F159A">
        <w:rPr>
          <w:rFonts w:ascii="Times New Roman" w:hAnsi="Times New Roman" w:cs="Times New Roman"/>
          <w:bCs/>
          <w:sz w:val="24"/>
          <w:szCs w:val="24"/>
        </w:rPr>
        <w:t xml:space="preserve"> </w:t>
      </w:r>
      <w:r>
        <w:rPr>
          <w:rFonts w:ascii="Times New Roman" w:hAnsi="Times New Roman" w:cs="Times New Roman"/>
          <w:bCs/>
          <w:sz w:val="24"/>
          <w:szCs w:val="24"/>
        </w:rPr>
        <w:t xml:space="preserve">internacional se ha comprometido a resguardar la vida, la integridad y la dignidad de las </w:t>
      </w:r>
      <w:r>
        <w:rPr>
          <w:rFonts w:ascii="Times New Roman" w:hAnsi="Times New Roman" w:cs="Times New Roman"/>
          <w:bCs/>
          <w:sz w:val="24"/>
          <w:szCs w:val="24"/>
        </w:rPr>
        <w:lastRenderedPageBreak/>
        <w:t>mujeres víctimas de V. I. mediante las medidas de protección vigentes en la Ley Contra la Violencia Doméstica, lo cierto es que continúa centrándose el abordaje desde los componentes sociales y culturales para la comprensión del fenómeno social.</w:t>
      </w:r>
    </w:p>
    <w:p w14:paraId="1F0688FE" w14:textId="77777777" w:rsidR="00E10342" w:rsidRDefault="00D31DDB" w:rsidP="002A4C9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Sin embargo, en el siglo XXI, se hace indispensable integrar nuevas rutas de estudio y abordaje científico que den a conocer los componentes cognitivos y estructurales del cerebro, así como su afectación con la exposición a la V. I. La psicología, la psiquiatría y la neurociencia, por ejemplo, afirman que algunas zonas cerebrales son las que predisponen a que este tipo de conductas se genere y se mantenga dentro de las relaciones de pareja.</w:t>
      </w:r>
    </w:p>
    <w:p w14:paraId="58C24D51" w14:textId="58FA9272" w:rsidR="00E10342" w:rsidRDefault="00D31DDB" w:rsidP="002A4C9C">
      <w:pPr>
        <w:pStyle w:val="Standard"/>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Discernir entre discapacidad intelectual y </w:t>
      </w:r>
      <w:r w:rsidR="00D276AE">
        <w:rPr>
          <w:rFonts w:ascii="Times New Roman" w:hAnsi="Times New Roman" w:cs="Times New Roman"/>
          <w:bCs/>
          <w:sz w:val="24"/>
          <w:szCs w:val="24"/>
        </w:rPr>
        <w:t>vulnerabilidad</w:t>
      </w:r>
      <w:r>
        <w:rPr>
          <w:rFonts w:ascii="Times New Roman" w:hAnsi="Times New Roman" w:cs="Times New Roman"/>
          <w:bCs/>
          <w:sz w:val="24"/>
          <w:szCs w:val="24"/>
        </w:rPr>
        <w:t xml:space="preserve"> cognitiva entonces resulta imperioso desde este nueva incursión</w:t>
      </w:r>
      <w:r w:rsidR="005F159A">
        <w:rPr>
          <w:rFonts w:ascii="Times New Roman" w:hAnsi="Times New Roman" w:cs="Times New Roman"/>
          <w:bCs/>
          <w:sz w:val="24"/>
          <w:szCs w:val="24"/>
        </w:rPr>
        <w:t xml:space="preserve"> </w:t>
      </w:r>
      <w:r>
        <w:rPr>
          <w:rFonts w:ascii="Times New Roman" w:hAnsi="Times New Roman" w:cs="Times New Roman"/>
          <w:bCs/>
          <w:sz w:val="24"/>
          <w:szCs w:val="24"/>
        </w:rPr>
        <w:t>a fin de brindar protección efectiva y eficiente según corresponda desde la Administración de Justicia, ya que</w:t>
      </w:r>
      <w:r w:rsidR="005F159A">
        <w:rPr>
          <w:rFonts w:ascii="Times New Roman" w:hAnsi="Times New Roman" w:cs="Times New Roman"/>
          <w:bCs/>
          <w:sz w:val="24"/>
          <w:szCs w:val="24"/>
        </w:rPr>
        <w:t xml:space="preserve"> </w:t>
      </w:r>
      <w:r>
        <w:rPr>
          <w:rFonts w:ascii="Times New Roman" w:hAnsi="Times New Roman" w:cs="Times New Roman"/>
          <w:bCs/>
          <w:sz w:val="24"/>
          <w:szCs w:val="24"/>
        </w:rPr>
        <w:t>mientras que la discapacidad intelectual</w:t>
      </w:r>
      <w:r w:rsidR="005F159A">
        <w:rPr>
          <w:rFonts w:ascii="Times New Roman" w:hAnsi="Times New Roman" w:cs="Times New Roman"/>
          <w:bCs/>
          <w:sz w:val="24"/>
          <w:szCs w:val="24"/>
        </w:rPr>
        <w:t xml:space="preserve"> </w:t>
      </w:r>
      <w:r>
        <w:rPr>
          <w:rFonts w:ascii="Times New Roman" w:hAnsi="Times New Roman" w:cs="Times New Roman"/>
          <w:bCs/>
          <w:sz w:val="24"/>
          <w:szCs w:val="24"/>
        </w:rPr>
        <w:t>permea</w:t>
      </w:r>
      <w:r w:rsidR="005F159A">
        <w:rPr>
          <w:rFonts w:ascii="Times New Roman" w:hAnsi="Times New Roman" w:cs="Times New Roman"/>
          <w:bCs/>
          <w:sz w:val="24"/>
          <w:szCs w:val="24"/>
        </w:rPr>
        <w:t xml:space="preserve"> </w:t>
      </w:r>
      <w:r>
        <w:rPr>
          <w:rFonts w:ascii="Times New Roman" w:hAnsi="Times New Roman" w:cs="Times New Roman"/>
          <w:bCs/>
          <w:sz w:val="24"/>
          <w:szCs w:val="24"/>
        </w:rPr>
        <w:t>la inteligencia desde el desarrollo de los individuos de una determinada sociedad y la misma debe</w:t>
      </w:r>
      <w:r w:rsidR="005F159A">
        <w:rPr>
          <w:rFonts w:ascii="Times New Roman" w:hAnsi="Times New Roman" w:cs="Times New Roman"/>
          <w:bCs/>
          <w:sz w:val="24"/>
          <w:szCs w:val="24"/>
        </w:rPr>
        <w:t xml:space="preserve"> </w:t>
      </w:r>
      <w:r>
        <w:rPr>
          <w:rFonts w:ascii="Times New Roman" w:hAnsi="Times New Roman" w:cs="Times New Roman"/>
          <w:bCs/>
          <w:sz w:val="24"/>
          <w:szCs w:val="24"/>
        </w:rPr>
        <w:t>buscar la forma de abordarlos y tratarlos,</w:t>
      </w:r>
      <w:r w:rsidR="005F159A">
        <w:rPr>
          <w:rFonts w:ascii="Times New Roman" w:hAnsi="Times New Roman" w:cs="Times New Roman"/>
          <w:bCs/>
          <w:sz w:val="24"/>
          <w:szCs w:val="24"/>
        </w:rPr>
        <w:t xml:space="preserve"> </w:t>
      </w:r>
      <w:r>
        <w:rPr>
          <w:rFonts w:ascii="Times New Roman" w:hAnsi="Times New Roman" w:cs="Times New Roman"/>
          <w:bCs/>
          <w:sz w:val="24"/>
          <w:szCs w:val="24"/>
        </w:rPr>
        <w:t>la vulnerabilidad cognitiva no se relaciona de forma alguna con la inteligencia</w:t>
      </w:r>
      <w:r w:rsidR="005F159A">
        <w:rPr>
          <w:rFonts w:ascii="Times New Roman" w:hAnsi="Times New Roman" w:cs="Times New Roman"/>
          <w:bCs/>
          <w:sz w:val="24"/>
          <w:szCs w:val="24"/>
        </w:rPr>
        <w:t xml:space="preserve"> </w:t>
      </w:r>
      <w:r>
        <w:rPr>
          <w:rFonts w:ascii="Times New Roman" w:hAnsi="Times New Roman" w:cs="Times New Roman"/>
          <w:bCs/>
          <w:sz w:val="24"/>
          <w:szCs w:val="24"/>
        </w:rPr>
        <w:t>sino más bien,</w:t>
      </w:r>
      <w:r w:rsidR="005F159A">
        <w:rPr>
          <w:rFonts w:ascii="Times New Roman" w:hAnsi="Times New Roman" w:cs="Times New Roman"/>
          <w:bCs/>
          <w:sz w:val="24"/>
          <w:szCs w:val="24"/>
        </w:rPr>
        <w:t xml:space="preserve"> </w:t>
      </w:r>
      <w:r>
        <w:rPr>
          <w:rFonts w:ascii="Times New Roman" w:hAnsi="Times New Roman" w:cs="Times New Roman"/>
          <w:bCs/>
          <w:sz w:val="24"/>
          <w:szCs w:val="24"/>
        </w:rPr>
        <w:t>con el compromiso en cuanto a las habilidades cognitivas que las víctimas de violencia doméstica o intrafamiliar</w:t>
      </w:r>
      <w:r w:rsidR="005F159A">
        <w:rPr>
          <w:rFonts w:ascii="Times New Roman" w:hAnsi="Times New Roman" w:cs="Times New Roman"/>
          <w:bCs/>
          <w:sz w:val="24"/>
          <w:szCs w:val="24"/>
        </w:rPr>
        <w:t xml:space="preserve"> </w:t>
      </w:r>
      <w:r>
        <w:rPr>
          <w:rFonts w:ascii="Times New Roman" w:hAnsi="Times New Roman" w:cs="Times New Roman"/>
          <w:bCs/>
          <w:sz w:val="24"/>
          <w:szCs w:val="24"/>
        </w:rPr>
        <w:t>experimentan ante la exposición a la violencia y que les pudiese provocar el stress, la depresión, la dependencia económica y emocional.</w:t>
      </w:r>
    </w:p>
    <w:p w14:paraId="311CFC7C" w14:textId="111705C5" w:rsidR="00E10342" w:rsidRDefault="00D31DDB" w:rsidP="002A4C9C">
      <w:pPr>
        <w:pStyle w:val="Standard"/>
        <w:spacing w:after="0" w:line="360" w:lineRule="auto"/>
        <w:ind w:firstLine="709"/>
        <w:jc w:val="both"/>
      </w:pPr>
      <w:r>
        <w:rPr>
          <w:rFonts w:ascii="Times New Roman" w:hAnsi="Times New Roman" w:cs="Times New Roman"/>
          <w:bCs/>
          <w:sz w:val="24"/>
          <w:szCs w:val="24"/>
        </w:rPr>
        <w:t>En aras de que el Estado costarricense, conozca y</w:t>
      </w:r>
      <w:r w:rsidR="005F159A">
        <w:rPr>
          <w:rFonts w:ascii="Times New Roman" w:hAnsi="Times New Roman" w:cs="Times New Roman"/>
          <w:bCs/>
          <w:sz w:val="24"/>
          <w:szCs w:val="24"/>
        </w:rPr>
        <w:t xml:space="preserve"> </w:t>
      </w:r>
      <w:r>
        <w:rPr>
          <w:rFonts w:ascii="Times New Roman" w:hAnsi="Times New Roman" w:cs="Times New Roman"/>
          <w:bCs/>
          <w:sz w:val="24"/>
          <w:szCs w:val="24"/>
        </w:rPr>
        <w:t>reconozca la existencia de la vulnerabilidad cognitiva y</w:t>
      </w:r>
      <w:r w:rsidR="005F159A">
        <w:rPr>
          <w:rFonts w:ascii="Times New Roman" w:hAnsi="Times New Roman" w:cs="Times New Roman"/>
          <w:bCs/>
          <w:sz w:val="24"/>
          <w:szCs w:val="24"/>
        </w:rPr>
        <w:t xml:space="preserve"> </w:t>
      </w:r>
      <w:r>
        <w:rPr>
          <w:rFonts w:ascii="Times New Roman" w:hAnsi="Times New Roman" w:cs="Times New Roman"/>
          <w:bCs/>
          <w:sz w:val="24"/>
          <w:szCs w:val="24"/>
        </w:rPr>
        <w:t>brinde</w:t>
      </w:r>
      <w:r w:rsidR="005F159A">
        <w:rPr>
          <w:rFonts w:ascii="Times New Roman" w:hAnsi="Times New Roman" w:cs="Times New Roman"/>
          <w:bCs/>
          <w:sz w:val="24"/>
          <w:szCs w:val="24"/>
        </w:rPr>
        <w:t xml:space="preserve"> </w:t>
      </w:r>
      <w:r>
        <w:rPr>
          <w:rFonts w:ascii="Times New Roman" w:hAnsi="Times New Roman" w:cs="Times New Roman"/>
          <w:bCs/>
          <w:sz w:val="24"/>
          <w:szCs w:val="24"/>
        </w:rPr>
        <w:t>a las víctimas seguimiento una efectiva protección, empoderamiento en las de instituciones públicas identificadas para tal fin y mencionadas con anterioridad (IMAS, PANI, CCSS, INAMU, Oficina de la Mujer, etc.). Con el objetivo de</w:t>
      </w:r>
      <w:r w:rsidR="00B23481">
        <w:rPr>
          <w:rFonts w:ascii="Times New Roman" w:hAnsi="Times New Roman" w:cs="Times New Roman"/>
          <w:bCs/>
          <w:sz w:val="24"/>
          <w:szCs w:val="24"/>
        </w:rPr>
        <w:t xml:space="preserve"> </w:t>
      </w:r>
      <w:r>
        <w:rPr>
          <w:rFonts w:ascii="Times New Roman" w:hAnsi="Times New Roman" w:cs="Times New Roman"/>
          <w:bCs/>
          <w:sz w:val="24"/>
          <w:szCs w:val="24"/>
        </w:rPr>
        <w:t>brindar un adecuado cumplimiento de la normativa nacional e internacional, en aras de dignificar la vida de nuestras mujeres de forma efectiva.</w:t>
      </w:r>
    </w:p>
    <w:p w14:paraId="50B48BD7" w14:textId="219EB590" w:rsidR="00E10342" w:rsidRDefault="00D31DDB" w:rsidP="002A4C9C">
      <w:pPr>
        <w:pStyle w:val="Ttulo2"/>
      </w:pPr>
      <w:bookmarkStart w:id="390" w:name="_Toc62476111"/>
      <w:bookmarkStart w:id="391" w:name="_Toc62476317"/>
      <w:bookmarkStart w:id="392" w:name="_Toc63688981"/>
      <w:r>
        <w:t>6.2 Recomendaciones</w:t>
      </w:r>
      <w:bookmarkEnd w:id="390"/>
      <w:bookmarkEnd w:id="391"/>
      <w:bookmarkEnd w:id="392"/>
    </w:p>
    <w:p w14:paraId="4F4A41F1" w14:textId="04D7B7F3" w:rsidR="00C87FFD" w:rsidRPr="00333D21" w:rsidRDefault="00684E0E" w:rsidP="00333D21">
      <w:pPr>
        <w:pStyle w:val="Ttulo2"/>
      </w:pPr>
      <w:r>
        <w:tab/>
      </w:r>
      <w:bookmarkStart w:id="393" w:name="_Toc63688982"/>
      <w:r w:rsidRPr="00333D21">
        <w:t xml:space="preserve">6.2.1 Para el </w:t>
      </w:r>
      <w:r w:rsidR="00C87FFD" w:rsidRPr="00333D21">
        <w:t>Poder Judicial</w:t>
      </w:r>
      <w:bookmarkEnd w:id="393"/>
      <w:r w:rsidR="00C87FFD" w:rsidRPr="00333D21">
        <w:t xml:space="preserve"> </w:t>
      </w:r>
    </w:p>
    <w:p w14:paraId="15DAF71C" w14:textId="499A659A" w:rsidR="00C87FFD" w:rsidRPr="00333D21" w:rsidRDefault="00C87FFD" w:rsidP="00333D21">
      <w:pPr>
        <w:pStyle w:val="Standard"/>
        <w:numPr>
          <w:ilvl w:val="0"/>
          <w:numId w:val="49"/>
        </w:numPr>
        <w:spacing w:after="0" w:line="360" w:lineRule="auto"/>
        <w:jc w:val="both"/>
        <w:rPr>
          <w:rFonts w:ascii="Times New Roman" w:hAnsi="Times New Roman" w:cs="Times New Roman"/>
          <w:bCs/>
          <w:sz w:val="24"/>
          <w:szCs w:val="24"/>
        </w:rPr>
      </w:pPr>
      <w:r w:rsidRPr="00333D21">
        <w:rPr>
          <w:rFonts w:ascii="Times New Roman" w:hAnsi="Times New Roman" w:cs="Times New Roman"/>
          <w:bCs/>
          <w:sz w:val="24"/>
          <w:szCs w:val="24"/>
        </w:rPr>
        <w:t>Dar seguimiento a las personas becadas a fin de que concluyan en término el Plan de estudios asumido ante la institución.</w:t>
      </w:r>
    </w:p>
    <w:p w14:paraId="1AFFDE63" w14:textId="1C8C8F8F" w:rsidR="00C87FFD" w:rsidRPr="00333D21" w:rsidRDefault="00C87FFD" w:rsidP="00333D21">
      <w:pPr>
        <w:pStyle w:val="Standard"/>
        <w:numPr>
          <w:ilvl w:val="0"/>
          <w:numId w:val="49"/>
        </w:numPr>
        <w:spacing w:after="0" w:line="360" w:lineRule="auto"/>
        <w:jc w:val="both"/>
        <w:rPr>
          <w:rFonts w:ascii="Times New Roman" w:hAnsi="Times New Roman" w:cs="Times New Roman"/>
          <w:bCs/>
          <w:sz w:val="24"/>
          <w:szCs w:val="24"/>
        </w:rPr>
      </w:pPr>
      <w:r w:rsidRPr="00333D21">
        <w:rPr>
          <w:rFonts w:ascii="Times New Roman" w:hAnsi="Times New Roman" w:cs="Times New Roman"/>
          <w:bCs/>
          <w:sz w:val="24"/>
          <w:szCs w:val="24"/>
        </w:rPr>
        <w:t xml:space="preserve">Conocer sobre el Calendario Universitario </w:t>
      </w:r>
    </w:p>
    <w:p w14:paraId="08CCA1B6" w14:textId="77777777" w:rsidR="00E10342" w:rsidRPr="00333D21" w:rsidRDefault="00D31DDB" w:rsidP="00333D21">
      <w:pPr>
        <w:pStyle w:val="Standard"/>
        <w:numPr>
          <w:ilvl w:val="0"/>
          <w:numId w:val="49"/>
        </w:numPr>
        <w:spacing w:after="0" w:line="360" w:lineRule="auto"/>
        <w:jc w:val="both"/>
        <w:rPr>
          <w:rFonts w:ascii="Times New Roman" w:hAnsi="Times New Roman" w:cs="Times New Roman"/>
          <w:bCs/>
          <w:sz w:val="24"/>
          <w:szCs w:val="24"/>
        </w:rPr>
      </w:pPr>
      <w:r w:rsidRPr="00333D21">
        <w:rPr>
          <w:rFonts w:ascii="Times New Roman" w:hAnsi="Times New Roman" w:cs="Times New Roman"/>
          <w:bCs/>
          <w:sz w:val="24"/>
          <w:szCs w:val="24"/>
        </w:rPr>
        <w:t>A las instancias involucradas en la atención de la V. I. en el Poder Judicial y la Escuela Judicial, se recomienda lo siguiente:</w:t>
      </w:r>
    </w:p>
    <w:p w14:paraId="2D646D9A" w14:textId="77777777" w:rsidR="00E10342" w:rsidRPr="00333D21" w:rsidRDefault="00D31DDB" w:rsidP="00333D21">
      <w:pPr>
        <w:pStyle w:val="Standard"/>
        <w:numPr>
          <w:ilvl w:val="0"/>
          <w:numId w:val="49"/>
        </w:numPr>
        <w:tabs>
          <w:tab w:val="left" w:pos="993"/>
        </w:tabs>
        <w:spacing w:after="0" w:line="360" w:lineRule="auto"/>
        <w:jc w:val="both"/>
        <w:rPr>
          <w:rFonts w:ascii="Times New Roman" w:hAnsi="Times New Roman" w:cs="Times New Roman"/>
          <w:bCs/>
          <w:sz w:val="24"/>
          <w:szCs w:val="24"/>
        </w:rPr>
      </w:pPr>
      <w:r w:rsidRPr="00333D21">
        <w:rPr>
          <w:rFonts w:ascii="Times New Roman" w:hAnsi="Times New Roman" w:cs="Times New Roman"/>
          <w:bCs/>
          <w:sz w:val="24"/>
          <w:szCs w:val="24"/>
        </w:rPr>
        <w:lastRenderedPageBreak/>
        <w:t>Procurar mantener el personal exclusivo –o, en su defecto, con prioridad– para la atención especializada de las mujeres víctimas de V. I., con la finalidad de que puedan cumplir el objetivo de la Ley Contra la V. D.: proteger la vida, la integridad y la dignidad; y con ello, que las mujeres víctimas de V. I. sean atendidas de forma adecuada.</w:t>
      </w:r>
    </w:p>
    <w:p w14:paraId="00CD866A" w14:textId="77777777" w:rsidR="00E10342" w:rsidRPr="00333D21" w:rsidRDefault="00D31DDB" w:rsidP="00333D21">
      <w:pPr>
        <w:pStyle w:val="Standard"/>
        <w:numPr>
          <w:ilvl w:val="0"/>
          <w:numId w:val="49"/>
        </w:numPr>
        <w:tabs>
          <w:tab w:val="left" w:pos="993"/>
        </w:tabs>
        <w:spacing w:after="0" w:line="360" w:lineRule="auto"/>
        <w:jc w:val="both"/>
        <w:rPr>
          <w:rFonts w:ascii="Times New Roman" w:hAnsi="Times New Roman" w:cs="Times New Roman"/>
          <w:bCs/>
          <w:sz w:val="24"/>
          <w:szCs w:val="24"/>
        </w:rPr>
      </w:pPr>
      <w:r w:rsidRPr="00333D21">
        <w:rPr>
          <w:rFonts w:ascii="Times New Roman" w:hAnsi="Times New Roman" w:cs="Times New Roman"/>
          <w:bCs/>
          <w:sz w:val="24"/>
          <w:szCs w:val="24"/>
        </w:rPr>
        <w:t>Promover procesos de capacitación para todo el personal que tiene contacto con las víctimas de V. I. y que tengan conocimiento sobre las habilidades cognitivas y sus posibles afectaciones.</w:t>
      </w:r>
    </w:p>
    <w:p w14:paraId="67AA3F56" w14:textId="77777777" w:rsidR="00E10342" w:rsidRPr="00333D21" w:rsidRDefault="00D31DDB" w:rsidP="00333D21">
      <w:pPr>
        <w:pStyle w:val="Standard"/>
        <w:numPr>
          <w:ilvl w:val="0"/>
          <w:numId w:val="49"/>
        </w:numPr>
        <w:tabs>
          <w:tab w:val="left" w:pos="993"/>
        </w:tabs>
        <w:spacing w:after="0" w:line="360" w:lineRule="auto"/>
        <w:jc w:val="both"/>
        <w:rPr>
          <w:rFonts w:ascii="Times New Roman" w:hAnsi="Times New Roman" w:cs="Times New Roman"/>
          <w:bCs/>
          <w:sz w:val="24"/>
          <w:szCs w:val="24"/>
        </w:rPr>
      </w:pPr>
      <w:r w:rsidRPr="00333D21">
        <w:rPr>
          <w:rFonts w:ascii="Times New Roman" w:hAnsi="Times New Roman" w:cs="Times New Roman"/>
          <w:bCs/>
          <w:sz w:val="24"/>
          <w:szCs w:val="24"/>
        </w:rPr>
        <w:t>Capacitar en temas tales como intervención en crisis, violencia de género y proceso judicial, promoviendo la especialización de todo su personal involucrado en dicho proceso.</w:t>
      </w:r>
    </w:p>
    <w:p w14:paraId="094CB43E" w14:textId="65709935" w:rsidR="00E10342" w:rsidRPr="00333D21" w:rsidRDefault="00D31DDB" w:rsidP="00333D21">
      <w:pPr>
        <w:pStyle w:val="Standard"/>
        <w:numPr>
          <w:ilvl w:val="0"/>
          <w:numId w:val="49"/>
        </w:numPr>
        <w:tabs>
          <w:tab w:val="left" w:pos="993"/>
        </w:tabs>
        <w:spacing w:after="0" w:line="360" w:lineRule="auto"/>
        <w:jc w:val="both"/>
        <w:rPr>
          <w:rFonts w:ascii="Times New Roman" w:hAnsi="Times New Roman" w:cs="Times New Roman"/>
          <w:sz w:val="24"/>
          <w:szCs w:val="24"/>
        </w:rPr>
      </w:pPr>
      <w:r w:rsidRPr="00333D21">
        <w:rPr>
          <w:rFonts w:ascii="Times New Roman" w:hAnsi="Times New Roman" w:cs="Times New Roman"/>
          <w:bCs/>
          <w:sz w:val="24"/>
          <w:szCs w:val="24"/>
        </w:rPr>
        <w:t>Revisar las reglas prácticas para la atención de las víctimas, con el fin de incluir la realización de pericias direccionadas a identificar la vulnerabilidad cognitiva en víctimas, así como el seguimiento presencial y domiciliar, y la incorporación de otras instituciones públicas (Fuerza Pública, INAMU, PANI, etc.)</w:t>
      </w:r>
      <w:r w:rsidR="005F159A" w:rsidRPr="00333D21">
        <w:rPr>
          <w:rFonts w:ascii="Times New Roman" w:hAnsi="Times New Roman" w:cs="Times New Roman"/>
          <w:bCs/>
          <w:sz w:val="24"/>
          <w:szCs w:val="24"/>
        </w:rPr>
        <w:t xml:space="preserve"> </w:t>
      </w:r>
    </w:p>
    <w:p w14:paraId="5EAB5FF9" w14:textId="77777777" w:rsidR="00E10342" w:rsidRPr="00333D21" w:rsidRDefault="00D31DDB" w:rsidP="00333D21">
      <w:pPr>
        <w:pStyle w:val="Prrafodelista"/>
        <w:numPr>
          <w:ilvl w:val="0"/>
          <w:numId w:val="49"/>
        </w:numPr>
        <w:tabs>
          <w:tab w:val="left" w:pos="993"/>
        </w:tabs>
        <w:spacing w:line="360" w:lineRule="auto"/>
        <w:jc w:val="both"/>
        <w:rPr>
          <w:rFonts w:ascii="Times New Roman" w:hAnsi="Times New Roman" w:cs="Times New Roman"/>
          <w:bCs/>
          <w:sz w:val="24"/>
          <w:szCs w:val="24"/>
        </w:rPr>
      </w:pPr>
      <w:r w:rsidRPr="00333D21">
        <w:rPr>
          <w:rFonts w:ascii="Times New Roman" w:hAnsi="Times New Roman" w:cs="Times New Roman"/>
          <w:bCs/>
          <w:sz w:val="24"/>
          <w:szCs w:val="24"/>
        </w:rPr>
        <w:t>Divulgar la labor realizada por los funcionarios del Departamento de Trabajo Social y Psicología a las distintas instancias judiciales, involucradas en el proceso de atención de las víctimas de V. I., en pro del conocimiento y la comprensión del personal judicial sobre los objetivos, procedimientos y aportes de la intervención profesional.</w:t>
      </w:r>
    </w:p>
    <w:p w14:paraId="6F8DCF29" w14:textId="77777777" w:rsidR="00E10342" w:rsidRPr="00333D21" w:rsidRDefault="00D31DDB" w:rsidP="00333D21">
      <w:pPr>
        <w:pStyle w:val="Prrafodelista"/>
        <w:numPr>
          <w:ilvl w:val="0"/>
          <w:numId w:val="49"/>
        </w:numPr>
        <w:tabs>
          <w:tab w:val="left" w:pos="993"/>
        </w:tabs>
        <w:spacing w:line="360" w:lineRule="auto"/>
        <w:jc w:val="both"/>
        <w:rPr>
          <w:rFonts w:ascii="Times New Roman" w:hAnsi="Times New Roman" w:cs="Times New Roman"/>
          <w:bCs/>
          <w:sz w:val="24"/>
          <w:szCs w:val="24"/>
        </w:rPr>
      </w:pPr>
      <w:r w:rsidRPr="00333D21">
        <w:rPr>
          <w:rFonts w:ascii="Times New Roman" w:hAnsi="Times New Roman" w:cs="Times New Roman"/>
          <w:bCs/>
          <w:sz w:val="24"/>
          <w:szCs w:val="24"/>
        </w:rPr>
        <w:t>Utilizar los datos brindados por las mujeres víctimas de V. D. en los expedientes para conocer a su población en cuanto al grupo etario más vulnerable y la cantidad de ocasiones que se presentan al despacho. De esta manera, se podrá brindar un mejor servicio público, con un tipo de vulnerabilidad determinada y abordajes interinstitucionales.</w:t>
      </w:r>
    </w:p>
    <w:p w14:paraId="2E5153D4" w14:textId="3E51CDD0" w:rsidR="00E10342" w:rsidRPr="00333D21" w:rsidRDefault="00D31DDB" w:rsidP="00333D21">
      <w:pPr>
        <w:pStyle w:val="Prrafodelista"/>
        <w:numPr>
          <w:ilvl w:val="0"/>
          <w:numId w:val="49"/>
        </w:numPr>
        <w:tabs>
          <w:tab w:val="left" w:pos="993"/>
        </w:tabs>
        <w:spacing w:line="360" w:lineRule="auto"/>
        <w:jc w:val="both"/>
        <w:rPr>
          <w:rFonts w:ascii="Times New Roman" w:hAnsi="Times New Roman" w:cs="Times New Roman"/>
          <w:bCs/>
          <w:sz w:val="24"/>
          <w:szCs w:val="24"/>
        </w:rPr>
      </w:pPr>
      <w:r w:rsidRPr="00333D21">
        <w:rPr>
          <w:rFonts w:ascii="Times New Roman" w:hAnsi="Times New Roman" w:cs="Times New Roman"/>
          <w:bCs/>
          <w:sz w:val="24"/>
          <w:szCs w:val="24"/>
        </w:rPr>
        <w:t>Utilizar todos los incisos de la Ley Contra la Violencia Doméstica que otorgan medidas de protección de forma específica, según el caso concreto.</w:t>
      </w:r>
    </w:p>
    <w:p w14:paraId="61D5ABA6" w14:textId="6CFB5D4D" w:rsidR="00EE46B9" w:rsidRPr="00333D21" w:rsidRDefault="00CE4B45" w:rsidP="00333D21">
      <w:pPr>
        <w:pStyle w:val="Prrafodelista"/>
        <w:numPr>
          <w:ilvl w:val="0"/>
          <w:numId w:val="49"/>
        </w:numPr>
        <w:spacing w:line="360" w:lineRule="auto"/>
        <w:jc w:val="both"/>
        <w:rPr>
          <w:rFonts w:eastAsia="Times New Roman" w:cs="Times New Roman"/>
          <w:b/>
          <w:szCs w:val="24"/>
          <w:lang w:val="es-SV"/>
        </w:rPr>
      </w:pPr>
      <w:bookmarkStart w:id="394" w:name="__RefHeading__27523_1894434827"/>
      <w:bookmarkStart w:id="395" w:name="_Toc61277020"/>
      <w:r w:rsidRPr="00333D21">
        <w:rPr>
          <w:rFonts w:ascii="Times New Roman" w:hAnsi="Times New Roman" w:cs="Times New Roman"/>
          <w:bCs/>
          <w:sz w:val="24"/>
          <w:szCs w:val="24"/>
        </w:rPr>
        <w:t>Realizar</w:t>
      </w:r>
      <w:r w:rsidR="005F273D" w:rsidRPr="00333D21">
        <w:rPr>
          <w:rFonts w:ascii="Times New Roman" w:hAnsi="Times New Roman" w:cs="Times New Roman"/>
          <w:bCs/>
          <w:sz w:val="24"/>
          <w:szCs w:val="24"/>
        </w:rPr>
        <w:t xml:space="preserve"> valoraciones</w:t>
      </w:r>
      <w:r w:rsidRPr="00333D21">
        <w:rPr>
          <w:rFonts w:ascii="Times New Roman" w:hAnsi="Times New Roman" w:cs="Times New Roman"/>
          <w:bCs/>
          <w:sz w:val="24"/>
          <w:szCs w:val="24"/>
        </w:rPr>
        <w:t xml:space="preserve"> a las mujeres víctimas de V.I </w:t>
      </w:r>
      <w:r w:rsidR="005F273D" w:rsidRPr="00333D21">
        <w:rPr>
          <w:rFonts w:ascii="Times New Roman" w:hAnsi="Times New Roman" w:cs="Times New Roman"/>
          <w:bCs/>
          <w:sz w:val="24"/>
          <w:szCs w:val="24"/>
        </w:rPr>
        <w:t xml:space="preserve">direccionadas </w:t>
      </w:r>
      <w:r w:rsidRPr="00333D21">
        <w:rPr>
          <w:rFonts w:ascii="Times New Roman" w:hAnsi="Times New Roman" w:cs="Times New Roman"/>
          <w:bCs/>
          <w:sz w:val="24"/>
          <w:szCs w:val="24"/>
        </w:rPr>
        <w:t xml:space="preserve">a determinar si presentan vulnerabilidad cognitiva que les dificulte </w:t>
      </w:r>
      <w:r w:rsidR="005F273D" w:rsidRPr="00333D21">
        <w:rPr>
          <w:rFonts w:ascii="Times New Roman" w:hAnsi="Times New Roman" w:cs="Times New Roman"/>
          <w:bCs/>
          <w:sz w:val="24"/>
          <w:szCs w:val="24"/>
        </w:rPr>
        <w:t>comprende</w:t>
      </w:r>
      <w:r w:rsidRPr="00333D21">
        <w:rPr>
          <w:rFonts w:ascii="Times New Roman" w:hAnsi="Times New Roman" w:cs="Times New Roman"/>
          <w:bCs/>
          <w:sz w:val="24"/>
          <w:szCs w:val="24"/>
        </w:rPr>
        <w:t>r</w:t>
      </w:r>
      <w:r w:rsidR="005F273D" w:rsidRPr="00333D21">
        <w:rPr>
          <w:rFonts w:ascii="Times New Roman" w:hAnsi="Times New Roman" w:cs="Times New Roman"/>
          <w:bCs/>
          <w:sz w:val="24"/>
          <w:szCs w:val="24"/>
        </w:rPr>
        <w:t xml:space="preserve"> los alcances del proceso y las medidas</w:t>
      </w:r>
      <w:r w:rsidRPr="00333D21">
        <w:rPr>
          <w:rFonts w:ascii="Times New Roman" w:hAnsi="Times New Roman" w:cs="Times New Roman"/>
          <w:bCs/>
          <w:sz w:val="24"/>
          <w:szCs w:val="24"/>
        </w:rPr>
        <w:t xml:space="preserve"> otorgadas </w:t>
      </w:r>
      <w:r w:rsidRPr="00333D21">
        <w:rPr>
          <w:rFonts w:cs="Times New Roman"/>
          <w:bCs/>
          <w:szCs w:val="24"/>
        </w:rPr>
        <w:t>a su favor.</w:t>
      </w:r>
    </w:p>
    <w:p w14:paraId="139FC5CC" w14:textId="3E8C09D1" w:rsidR="00EE46B9" w:rsidRPr="00333D21" w:rsidRDefault="009150D8" w:rsidP="00333D21">
      <w:pPr>
        <w:pStyle w:val="Ttulo2"/>
      </w:pPr>
      <w:bookmarkStart w:id="396" w:name="_Toc63688983"/>
      <w:r>
        <w:lastRenderedPageBreak/>
        <w:t xml:space="preserve">6.2.2 </w:t>
      </w:r>
      <w:r w:rsidR="00684E0E" w:rsidRPr="00333D21">
        <w:t xml:space="preserve">Para la </w:t>
      </w:r>
      <w:r w:rsidR="00EE46B9" w:rsidRPr="00333D21">
        <w:t>Universidad Nacional</w:t>
      </w:r>
      <w:bookmarkEnd w:id="396"/>
    </w:p>
    <w:p w14:paraId="7A180C61" w14:textId="43A1A38E" w:rsidR="00654111" w:rsidRPr="00333D21" w:rsidRDefault="00EE46B9" w:rsidP="00333D21">
      <w:pPr>
        <w:pStyle w:val="Prrafodelista"/>
        <w:numPr>
          <w:ilvl w:val="0"/>
          <w:numId w:val="50"/>
        </w:numPr>
        <w:rPr>
          <w:rFonts w:eastAsia="Times New Roman" w:cs="Times New Roman"/>
          <w:b/>
          <w:szCs w:val="24"/>
          <w:lang w:val="es-SV"/>
        </w:rPr>
      </w:pPr>
      <w:r w:rsidRPr="00333D21">
        <w:rPr>
          <w:rFonts w:cs="Times New Roman"/>
          <w:bCs/>
          <w:szCs w:val="24"/>
        </w:rPr>
        <w:t xml:space="preserve">Promover jornadas </w:t>
      </w:r>
      <w:proofErr w:type="gramStart"/>
      <w:r w:rsidRPr="00333D21">
        <w:rPr>
          <w:rFonts w:cs="Times New Roman"/>
          <w:bCs/>
          <w:szCs w:val="24"/>
        </w:rPr>
        <w:t>académicas</w:t>
      </w:r>
      <w:proofErr w:type="gramEnd"/>
      <w:r w:rsidRPr="00333D21">
        <w:rPr>
          <w:rFonts w:cs="Times New Roman"/>
          <w:bCs/>
          <w:szCs w:val="24"/>
        </w:rPr>
        <w:t xml:space="preserve"> así como conferencias que permitan a otras personas continuar la línea de investigación</w:t>
      </w:r>
      <w:r w:rsidR="00654111" w:rsidRPr="00333D21">
        <w:rPr>
          <w:rFonts w:cs="Times New Roman"/>
          <w:szCs w:val="24"/>
        </w:rPr>
        <w:br w:type="page"/>
      </w:r>
    </w:p>
    <w:p w14:paraId="2595352D" w14:textId="68C49C4B" w:rsidR="00E10342" w:rsidRDefault="00D31DDB">
      <w:pPr>
        <w:pStyle w:val="Ttulo1"/>
      </w:pPr>
      <w:bookmarkStart w:id="397" w:name="_Toc62463370"/>
      <w:bookmarkStart w:id="398" w:name="_Toc62476112"/>
      <w:bookmarkStart w:id="399" w:name="_Toc62476318"/>
      <w:bookmarkStart w:id="400" w:name="_Toc63688984"/>
      <w:r>
        <w:lastRenderedPageBreak/>
        <w:t>Referencias</w:t>
      </w:r>
      <w:bookmarkEnd w:id="394"/>
      <w:bookmarkEnd w:id="395"/>
      <w:bookmarkEnd w:id="397"/>
      <w:bookmarkEnd w:id="398"/>
      <w:bookmarkEnd w:id="399"/>
      <w:bookmarkEnd w:id="400"/>
    </w:p>
    <w:p w14:paraId="094E1B47" w14:textId="77777777" w:rsidR="002A4C9C" w:rsidRDefault="002A4C9C" w:rsidP="002A4C9C">
      <w:pPr>
        <w:pStyle w:val="Ttulo1"/>
      </w:pPr>
      <w:bookmarkStart w:id="401" w:name="_Hlk44429278"/>
      <w:bookmarkStart w:id="402" w:name="__RefHeading__27525_1894434827"/>
      <w:bookmarkStart w:id="403" w:name="_Toc61277021"/>
      <w:bookmarkStart w:id="404" w:name="_Toc62463371"/>
      <w:bookmarkEnd w:id="401"/>
    </w:p>
    <w:p w14:paraId="633E126C" w14:textId="52F8A19F" w:rsidR="003E55D9" w:rsidRPr="00333D21" w:rsidRDefault="003E55D9" w:rsidP="00333D21">
      <w:pPr>
        <w:pStyle w:val="Standard"/>
        <w:spacing w:after="0" w:line="360" w:lineRule="auto"/>
        <w:ind w:left="709" w:hanging="709"/>
        <w:jc w:val="both"/>
        <w:rPr>
          <w:rFonts w:ascii="Times New Roman" w:hAnsi="Times New Roman" w:cs="Times New Roman"/>
          <w:bCs/>
          <w:i/>
          <w:sz w:val="24"/>
          <w:szCs w:val="24"/>
        </w:rPr>
      </w:pPr>
      <w:proofErr w:type="spellStart"/>
      <w:r w:rsidRPr="00333D21">
        <w:rPr>
          <w:rFonts w:ascii="Times New Roman" w:hAnsi="Times New Roman" w:cs="Times New Roman"/>
          <w:bCs/>
          <w:sz w:val="24"/>
          <w:szCs w:val="24"/>
        </w:rPr>
        <w:t>Alméciga</w:t>
      </w:r>
      <w:proofErr w:type="spellEnd"/>
      <w:r w:rsidRPr="00333D21">
        <w:rPr>
          <w:rFonts w:ascii="Times New Roman" w:hAnsi="Times New Roman" w:cs="Times New Roman"/>
          <w:bCs/>
          <w:sz w:val="24"/>
          <w:szCs w:val="24"/>
        </w:rPr>
        <w:t xml:space="preserve">, M. y Sanabria, L. (2015). </w:t>
      </w:r>
      <w:r w:rsidRPr="00333D21">
        <w:rPr>
          <w:rFonts w:ascii="Times New Roman" w:hAnsi="Times New Roman" w:cs="Times New Roman"/>
          <w:bCs/>
          <w:i/>
          <w:sz w:val="24"/>
          <w:szCs w:val="24"/>
        </w:rPr>
        <w:t>Dependencia emocional y distorsiones cognitivas en un grupo de mujeres víctimas de violencia doméstica</w:t>
      </w:r>
      <w:r w:rsidRPr="00333D21">
        <w:rPr>
          <w:rFonts w:ascii="Times New Roman" w:hAnsi="Times New Roman" w:cs="Times New Roman"/>
          <w:bCs/>
          <w:sz w:val="24"/>
          <w:szCs w:val="24"/>
        </w:rPr>
        <w:t>. [Tesis sin publicar]. Fundación Universitaria Los libertadores.</w:t>
      </w:r>
    </w:p>
    <w:p w14:paraId="5F559CE3" w14:textId="77777777" w:rsidR="003E55D9" w:rsidRPr="00333D21" w:rsidRDefault="003E55D9" w:rsidP="00333D21">
      <w:pPr>
        <w:pStyle w:val="Standard"/>
        <w:spacing w:after="0" w:line="360" w:lineRule="auto"/>
        <w:ind w:left="709" w:hanging="709"/>
        <w:jc w:val="both"/>
      </w:pPr>
      <w:r w:rsidRPr="00333D21">
        <w:rPr>
          <w:rFonts w:ascii="Times New Roman" w:hAnsi="Times New Roman" w:cs="Times New Roman"/>
          <w:bCs/>
          <w:sz w:val="24"/>
          <w:szCs w:val="24"/>
        </w:rPr>
        <w:t xml:space="preserve">Asamblea General de la ONU. (1985) </w:t>
      </w:r>
      <w:r w:rsidRPr="00333D21">
        <w:rPr>
          <w:rFonts w:ascii="Times New Roman" w:hAnsi="Times New Roman" w:cs="Times New Roman"/>
          <w:bCs/>
          <w:i/>
          <w:sz w:val="24"/>
          <w:szCs w:val="24"/>
        </w:rPr>
        <w:t>Declaración sobre los principios fundamentales de justicia para las víctimas de delitos y del abuso de poder</w:t>
      </w:r>
      <w:r w:rsidRPr="00333D21">
        <w:rPr>
          <w:rFonts w:ascii="Times New Roman" w:hAnsi="Times New Roman" w:cs="Times New Roman"/>
          <w:bCs/>
          <w:sz w:val="24"/>
          <w:szCs w:val="24"/>
        </w:rPr>
        <w:t>. Naciones Unidas, Derechos Humanos. https://www.ohchr.org/sp/professionalinterest/pages/victimsofcrimeandabuseofpower.aspx</w:t>
      </w:r>
    </w:p>
    <w:p w14:paraId="7270A0A1" w14:textId="77777777" w:rsidR="003E55D9" w:rsidRPr="00333D21" w:rsidRDefault="003E55D9" w:rsidP="00333D21">
      <w:pPr>
        <w:pStyle w:val="Standard"/>
        <w:spacing w:after="0" w:line="360" w:lineRule="auto"/>
        <w:ind w:left="709" w:hanging="709"/>
      </w:pPr>
      <w:r w:rsidRPr="00333D21">
        <w:rPr>
          <w:rFonts w:ascii="Times New Roman" w:hAnsi="Times New Roman" w:cs="Times New Roman"/>
          <w:bCs/>
          <w:sz w:val="24"/>
          <w:szCs w:val="24"/>
        </w:rPr>
        <w:t xml:space="preserve">Arcas, M. (2014). Vulnerabilidad en mujeres maltratadas. efectos </w:t>
      </w:r>
      <w:proofErr w:type="spellStart"/>
      <w:r w:rsidRPr="00333D21">
        <w:rPr>
          <w:rFonts w:ascii="Times New Roman" w:hAnsi="Times New Roman" w:cs="Times New Roman"/>
          <w:bCs/>
          <w:sz w:val="24"/>
          <w:szCs w:val="24"/>
        </w:rPr>
        <w:t>Alcmeon</w:t>
      </w:r>
      <w:proofErr w:type="spellEnd"/>
      <w:r w:rsidRPr="00333D21">
        <w:rPr>
          <w:rFonts w:ascii="Times New Roman" w:hAnsi="Times New Roman" w:cs="Times New Roman"/>
          <w:bCs/>
          <w:sz w:val="24"/>
          <w:szCs w:val="24"/>
        </w:rPr>
        <w:t xml:space="preserve">. </w:t>
      </w:r>
      <w:r w:rsidRPr="00333D21">
        <w:rPr>
          <w:rFonts w:ascii="Times New Roman" w:hAnsi="Times New Roman" w:cs="Times New Roman"/>
          <w:bCs/>
          <w:i/>
          <w:sz w:val="24"/>
          <w:szCs w:val="24"/>
        </w:rPr>
        <w:t>Revista Argentina de Clínica Neuropsiquiátrica,</w:t>
      </w:r>
      <w:r w:rsidRPr="00333D21">
        <w:rPr>
          <w:rFonts w:ascii="Times New Roman" w:hAnsi="Times New Roman" w:cs="Times New Roman"/>
          <w:bCs/>
          <w:sz w:val="24"/>
          <w:szCs w:val="24"/>
        </w:rPr>
        <w:t xml:space="preserve"> </w:t>
      </w:r>
      <w:r w:rsidRPr="00333D21">
        <w:rPr>
          <w:rFonts w:ascii="Times New Roman" w:hAnsi="Times New Roman" w:cs="Times New Roman"/>
          <w:bCs/>
          <w:i/>
          <w:sz w:val="24"/>
          <w:szCs w:val="24"/>
        </w:rPr>
        <w:t>19(15).</w:t>
      </w:r>
      <w:r w:rsidRPr="00333D21">
        <w:rPr>
          <w:rFonts w:ascii="Times New Roman" w:hAnsi="Times New Roman" w:cs="Times New Roman"/>
          <w:bCs/>
          <w:sz w:val="24"/>
          <w:szCs w:val="24"/>
        </w:rPr>
        <w:t xml:space="preserve"> </w:t>
      </w:r>
      <w:hyperlink r:id="rId41" w:history="1">
        <w:r w:rsidRPr="00333D21">
          <w:rPr>
            <w:rStyle w:val="Hipervnculo"/>
            <w:rFonts w:ascii="Times New Roman" w:hAnsi="Times New Roman" w:cs="Times New Roman"/>
            <w:bCs/>
            <w:color w:val="auto"/>
            <w:sz w:val="24"/>
            <w:szCs w:val="24"/>
            <w:u w:val="none"/>
          </w:rPr>
          <w:t>https://www.alcmeon.com.ar/19/07_violenciagenero_arcas.pdf</w:t>
        </w:r>
      </w:hyperlink>
    </w:p>
    <w:p w14:paraId="65CF3D77" w14:textId="77777777" w:rsidR="003E55D9" w:rsidRPr="00333D21" w:rsidRDefault="003E55D9" w:rsidP="00333D21">
      <w:pPr>
        <w:pStyle w:val="Standard"/>
        <w:spacing w:after="0" w:line="360" w:lineRule="auto"/>
        <w:ind w:left="709" w:hanging="709"/>
        <w:jc w:val="both"/>
      </w:pPr>
      <w:r w:rsidRPr="00333D21">
        <w:rPr>
          <w:rFonts w:ascii="Times New Roman" w:hAnsi="Times New Roman" w:cs="Times New Roman"/>
          <w:bCs/>
          <w:sz w:val="24"/>
          <w:szCs w:val="24"/>
        </w:rPr>
        <w:t xml:space="preserve">Ballesteros, S. (2014). </w:t>
      </w:r>
      <w:r w:rsidRPr="00333D21">
        <w:rPr>
          <w:rFonts w:ascii="Times New Roman" w:hAnsi="Times New Roman" w:cs="Times New Roman"/>
          <w:bCs/>
          <w:i/>
          <w:sz w:val="24"/>
          <w:szCs w:val="24"/>
        </w:rPr>
        <w:t>Habilidades cognitivas básicas: formación y deterioro</w:t>
      </w:r>
      <w:r w:rsidRPr="00333D21">
        <w:rPr>
          <w:rFonts w:ascii="Times New Roman" w:hAnsi="Times New Roman" w:cs="Times New Roman"/>
          <w:bCs/>
          <w:sz w:val="24"/>
          <w:szCs w:val="24"/>
        </w:rPr>
        <w:t xml:space="preserve">. Universidad Estatal a Distancia. </w:t>
      </w:r>
      <w:hyperlink r:id="rId42" w:history="1">
        <w:r w:rsidRPr="00333D21">
          <w:rPr>
            <w:rStyle w:val="Hipervnculo"/>
            <w:rFonts w:ascii="Times New Roman" w:hAnsi="Times New Roman" w:cs="Times New Roman"/>
            <w:bCs/>
            <w:color w:val="auto"/>
            <w:sz w:val="24"/>
            <w:szCs w:val="24"/>
            <w:u w:val="none"/>
          </w:rPr>
          <w:t>https://play.google.com/store/books/details/HABILIDADES_COGNITIVAS_B%C3%81SICAS_FORMACI%C3%93N_Y_DETERIO?id=QmT6AgAAQBAJ&amp;hl=az</w:t>
        </w:r>
      </w:hyperlink>
    </w:p>
    <w:p w14:paraId="5A75FD88" w14:textId="0AC3DFD6" w:rsidR="003E55D9" w:rsidRDefault="003E55D9" w:rsidP="00333D21">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 xml:space="preserve">Barrantes, R. (2010). </w:t>
      </w:r>
      <w:r w:rsidRPr="00333D21">
        <w:rPr>
          <w:rFonts w:ascii="Times New Roman" w:hAnsi="Times New Roman" w:cs="Times New Roman"/>
          <w:bCs/>
          <w:i/>
          <w:sz w:val="24"/>
          <w:szCs w:val="24"/>
        </w:rPr>
        <w:t>Investigación un camino al conocimiento, un enfoque cualitativo y cuantitativo</w:t>
      </w:r>
      <w:r w:rsidRPr="00333D21">
        <w:rPr>
          <w:rFonts w:ascii="Times New Roman" w:hAnsi="Times New Roman" w:cs="Times New Roman"/>
          <w:bCs/>
          <w:sz w:val="24"/>
          <w:szCs w:val="24"/>
        </w:rPr>
        <w:t>. UNED. San José.</w:t>
      </w:r>
    </w:p>
    <w:p w14:paraId="176ED329" w14:textId="3A607746" w:rsidR="00FE2854" w:rsidRPr="00333D21" w:rsidRDefault="00FE2854" w:rsidP="00333D21">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Berger, P y Luckmann, T</w:t>
      </w:r>
      <w:r w:rsidR="00173625" w:rsidRPr="00333D21">
        <w:rPr>
          <w:rFonts w:ascii="Times New Roman" w:hAnsi="Times New Roman" w:cs="Times New Roman"/>
          <w:bCs/>
          <w:sz w:val="24"/>
          <w:szCs w:val="24"/>
        </w:rPr>
        <w:t xml:space="preserve"> (1968</w:t>
      </w:r>
      <w:r w:rsidRPr="00333D21">
        <w:rPr>
          <w:rFonts w:ascii="Times New Roman" w:hAnsi="Times New Roman" w:cs="Times New Roman"/>
          <w:bCs/>
          <w:sz w:val="24"/>
          <w:szCs w:val="24"/>
        </w:rPr>
        <w:t>): La con</w:t>
      </w:r>
      <w:r w:rsidR="00173625" w:rsidRPr="00333D21">
        <w:rPr>
          <w:rFonts w:ascii="Times New Roman" w:hAnsi="Times New Roman" w:cs="Times New Roman"/>
          <w:bCs/>
          <w:sz w:val="24"/>
          <w:szCs w:val="24"/>
        </w:rPr>
        <w:t>strucción social de la realidad.</w:t>
      </w:r>
      <w:r w:rsidR="00173625">
        <w:rPr>
          <w:rFonts w:ascii="Times New Roman" w:hAnsi="Times New Roman" w:cs="Times New Roman"/>
          <w:bCs/>
          <w:sz w:val="24"/>
          <w:szCs w:val="24"/>
        </w:rPr>
        <w:t xml:space="preserve"> </w:t>
      </w:r>
      <w:r w:rsidR="00173625" w:rsidRPr="00333D21">
        <w:rPr>
          <w:rFonts w:ascii="Times New Roman" w:hAnsi="Times New Roman" w:cs="Times New Roman"/>
          <w:bCs/>
          <w:sz w:val="24"/>
          <w:szCs w:val="24"/>
        </w:rPr>
        <w:t>Buenos Aires, Amorrortu</w:t>
      </w:r>
      <w:r w:rsidRPr="00333D21">
        <w:rPr>
          <w:rFonts w:ascii="Times New Roman" w:hAnsi="Times New Roman" w:cs="Times New Roman"/>
          <w:bCs/>
          <w:sz w:val="24"/>
          <w:szCs w:val="24"/>
        </w:rPr>
        <w:t>.</w:t>
      </w:r>
    </w:p>
    <w:p w14:paraId="7B8C3B8B" w14:textId="77777777" w:rsidR="003E55D9" w:rsidRPr="00333D21" w:rsidRDefault="003E55D9" w:rsidP="003E55D9">
      <w:pPr>
        <w:pStyle w:val="Standard"/>
        <w:spacing w:after="0" w:line="360" w:lineRule="auto"/>
        <w:ind w:left="709" w:hanging="709"/>
      </w:pPr>
      <w:r w:rsidRPr="00333D21">
        <w:rPr>
          <w:rFonts w:ascii="Times New Roman" w:hAnsi="Times New Roman" w:cs="Times New Roman"/>
          <w:bCs/>
          <w:sz w:val="24"/>
          <w:szCs w:val="24"/>
        </w:rPr>
        <w:t xml:space="preserve">Berrocal, I. (2009). </w:t>
      </w:r>
      <w:r w:rsidRPr="00333D21">
        <w:rPr>
          <w:rFonts w:ascii="Times New Roman" w:hAnsi="Times New Roman" w:cs="Times New Roman"/>
          <w:bCs/>
          <w:i/>
          <w:sz w:val="24"/>
          <w:szCs w:val="24"/>
        </w:rPr>
        <w:t>Introducción a la especialización del y de la auxiliar judicial</w:t>
      </w:r>
      <w:r w:rsidRPr="00333D21">
        <w:rPr>
          <w:rFonts w:ascii="Times New Roman" w:hAnsi="Times New Roman" w:cs="Times New Roman"/>
          <w:bCs/>
          <w:sz w:val="24"/>
          <w:szCs w:val="24"/>
        </w:rPr>
        <w:t>. Poder Judicial</w:t>
      </w:r>
      <w:proofErr w:type="gramStart"/>
      <w:r w:rsidRPr="00333D21">
        <w:rPr>
          <w:rFonts w:ascii="Times New Roman" w:hAnsi="Times New Roman" w:cs="Times New Roman"/>
          <w:bCs/>
          <w:sz w:val="24"/>
          <w:szCs w:val="24"/>
        </w:rPr>
        <w:t>, .</w:t>
      </w:r>
      <w:proofErr w:type="gramEnd"/>
      <w:r w:rsidRPr="00333D21">
        <w:rPr>
          <w:rFonts w:ascii="Times New Roman" w:hAnsi="Times New Roman" w:cs="Times New Roman"/>
          <w:bCs/>
          <w:sz w:val="24"/>
          <w:szCs w:val="24"/>
        </w:rPr>
        <w:t xml:space="preserve"> </w:t>
      </w:r>
      <w:hyperlink r:id="rId43" w:history="1">
        <w:r w:rsidRPr="00333D21">
          <w:rPr>
            <w:rStyle w:val="Hipervnculo"/>
            <w:rFonts w:ascii="Times New Roman" w:hAnsi="Times New Roman" w:cs="Times New Roman"/>
            <w:bCs/>
            <w:color w:val="auto"/>
            <w:sz w:val="24"/>
            <w:szCs w:val="24"/>
            <w:u w:val="none"/>
          </w:rPr>
          <w:t>https://escuelajudicialpj.poder-judicial.go.cr.pdf</w:t>
        </w:r>
      </w:hyperlink>
    </w:p>
    <w:p w14:paraId="4DD54E56"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Campos, A. (2010). Neuroeducación: uniendo las neurociencias y la educación en la búsqueda del desarrollo humano. </w:t>
      </w:r>
      <w:r w:rsidRPr="00333D21">
        <w:rPr>
          <w:rFonts w:ascii="Times New Roman" w:hAnsi="Times New Roman" w:cs="Times New Roman"/>
          <w:bCs/>
          <w:i/>
          <w:sz w:val="24"/>
          <w:szCs w:val="24"/>
        </w:rPr>
        <w:t>La Educación, Revista Digital.</w:t>
      </w:r>
      <w:r w:rsidRPr="00333D21">
        <w:rPr>
          <w:rFonts w:ascii="Times New Roman" w:hAnsi="Times New Roman" w:cs="Times New Roman"/>
          <w:bCs/>
          <w:sz w:val="24"/>
          <w:szCs w:val="24"/>
        </w:rPr>
        <w:t xml:space="preserve"> </w:t>
      </w:r>
      <w:r w:rsidRPr="00333D21">
        <w:rPr>
          <w:rFonts w:ascii="Times New Roman" w:hAnsi="Times New Roman" w:cs="Times New Roman"/>
          <w:bCs/>
          <w:i/>
          <w:sz w:val="24"/>
          <w:szCs w:val="24"/>
        </w:rPr>
        <w:t xml:space="preserve">(143). </w:t>
      </w:r>
      <w:hyperlink r:id="rId44" w:history="1">
        <w:r w:rsidRPr="00333D21">
          <w:rPr>
            <w:rStyle w:val="Hipervnculo"/>
            <w:rFonts w:ascii="Times New Roman" w:hAnsi="Times New Roman" w:cs="Times New Roman"/>
            <w:bCs/>
            <w:color w:val="auto"/>
            <w:sz w:val="24"/>
            <w:szCs w:val="24"/>
            <w:u w:val="none"/>
          </w:rPr>
          <w:t>http://kdoce.cl/wp-content/uploads/2017/10/DOC1-neuroeducacion.pdf</w:t>
        </w:r>
      </w:hyperlink>
    </w:p>
    <w:p w14:paraId="0B2B296A"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Carrasco, C. (2009). </w:t>
      </w:r>
      <w:r w:rsidRPr="00333D21">
        <w:rPr>
          <w:rFonts w:ascii="Times New Roman" w:hAnsi="Times New Roman" w:cs="Times New Roman"/>
          <w:bCs/>
          <w:i/>
          <w:sz w:val="24"/>
          <w:szCs w:val="24"/>
        </w:rPr>
        <w:t>Mujeres, sostenibilidad y deuda social</w:t>
      </w:r>
      <w:r w:rsidRPr="00333D21">
        <w:rPr>
          <w:rFonts w:ascii="Times New Roman" w:hAnsi="Times New Roman" w:cs="Times New Roman"/>
          <w:bCs/>
          <w:sz w:val="24"/>
          <w:szCs w:val="24"/>
        </w:rPr>
        <w:t xml:space="preserve">. </w:t>
      </w:r>
      <w:hyperlink r:id="rId45" w:history="1">
        <w:r w:rsidRPr="00333D21">
          <w:rPr>
            <w:rStyle w:val="Hipervnculo"/>
            <w:rFonts w:ascii="Times New Roman" w:hAnsi="Times New Roman" w:cs="Times New Roman"/>
            <w:bCs/>
            <w:color w:val="auto"/>
            <w:sz w:val="24"/>
            <w:szCs w:val="24"/>
            <w:u w:val="none"/>
          </w:rPr>
          <w:t>https://dds.cepal.org/redesoc/publicacion?id=751</w:t>
        </w:r>
      </w:hyperlink>
    </w:p>
    <w:p w14:paraId="11E077C4" w14:textId="77777777" w:rsidR="003E55D9" w:rsidRPr="00333D21" w:rsidRDefault="003E55D9" w:rsidP="003E55D9">
      <w:pPr>
        <w:pStyle w:val="Standard"/>
        <w:spacing w:after="0" w:line="360" w:lineRule="auto"/>
        <w:ind w:left="709" w:hanging="709"/>
        <w:jc w:val="both"/>
        <w:rPr>
          <w:lang w:val="en-US"/>
        </w:rPr>
      </w:pPr>
      <w:r w:rsidRPr="00333D21">
        <w:rPr>
          <w:rFonts w:ascii="Times New Roman" w:hAnsi="Times New Roman" w:cs="Times New Roman"/>
          <w:bCs/>
          <w:sz w:val="24"/>
          <w:szCs w:val="24"/>
        </w:rPr>
        <w:t xml:space="preserve">Claramunt, M. (2002). Casitas quebradas: el problema de la violencia doméstica en Costa Rica. </w:t>
      </w:r>
      <w:r w:rsidRPr="00333D21">
        <w:rPr>
          <w:rFonts w:ascii="Times New Roman" w:hAnsi="Times New Roman" w:cs="Times New Roman"/>
          <w:bCs/>
          <w:sz w:val="24"/>
          <w:szCs w:val="24"/>
          <w:lang w:val="en-US"/>
        </w:rPr>
        <w:t xml:space="preserve">UNED. </w:t>
      </w:r>
      <w:hyperlink r:id="rId46" w:anchor="v=onepage&amp;q&amp;f=false" w:history="1">
        <w:r w:rsidRPr="00333D21">
          <w:rPr>
            <w:rStyle w:val="Hipervnculo"/>
            <w:rFonts w:ascii="Times New Roman" w:hAnsi="Times New Roman" w:cs="Times New Roman"/>
            <w:color w:val="auto"/>
            <w:sz w:val="24"/>
            <w:szCs w:val="24"/>
            <w:u w:val="none"/>
            <w:lang w:val="en-US"/>
          </w:rPr>
          <w:t>https://books.google.co.cr/books?</w:t>
        </w:r>
      </w:hyperlink>
      <w:hyperlink r:id="rId47" w:anchor="v=onepage&amp;q&amp;f=false" w:history="1">
        <w:r w:rsidRPr="00333D21">
          <w:rPr>
            <w:rStyle w:val="Hipervnculo"/>
            <w:rFonts w:ascii="Times New Roman" w:hAnsi="Times New Roman" w:cs="Times New Roman"/>
            <w:color w:val="auto"/>
            <w:sz w:val="24"/>
            <w:szCs w:val="24"/>
            <w:u w:val="none"/>
            <w:lang w:val="en-US"/>
          </w:rPr>
          <w:t>id=dNqXrX3t0wMC&amp;printsec=frontcover&amp;hl=es&amp;source=gbs_ge_summary_r&amp;cad=0#v=onepage&amp;q&amp;f=false</w:t>
        </w:r>
      </w:hyperlink>
    </w:p>
    <w:p w14:paraId="6B5F4CC7"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CostaRica21.com. (2020). </w:t>
      </w:r>
      <w:r w:rsidRPr="00333D21">
        <w:rPr>
          <w:rFonts w:ascii="Times New Roman" w:hAnsi="Times New Roman" w:cs="Times New Roman"/>
          <w:bCs/>
          <w:i/>
          <w:sz w:val="24"/>
          <w:szCs w:val="24"/>
        </w:rPr>
        <w:t>Provincias de Costa Rica.</w:t>
      </w:r>
      <w:r w:rsidRPr="00333D21">
        <w:rPr>
          <w:rFonts w:ascii="Times New Roman" w:hAnsi="Times New Roman" w:cs="Times New Roman"/>
          <w:bCs/>
          <w:sz w:val="24"/>
          <w:szCs w:val="24"/>
        </w:rPr>
        <w:t xml:space="preserve"> </w:t>
      </w:r>
      <w:hyperlink r:id="rId48" w:history="1">
        <w:r w:rsidRPr="00333D21">
          <w:rPr>
            <w:rStyle w:val="Hipervnculo"/>
            <w:rFonts w:ascii="Times New Roman" w:hAnsi="Times New Roman" w:cs="Times New Roman"/>
            <w:bCs/>
            <w:color w:val="auto"/>
            <w:sz w:val="24"/>
            <w:szCs w:val="24"/>
            <w:u w:val="none"/>
          </w:rPr>
          <w:t>http://www.costarica21.com/San-Jose-s.html</w:t>
        </w:r>
      </w:hyperlink>
    </w:p>
    <w:p w14:paraId="42115F6F"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Cruz, M., Jiménez, S. y Rojas, M. (2004). </w:t>
      </w:r>
      <w:r w:rsidRPr="00333D21">
        <w:rPr>
          <w:rFonts w:ascii="Times New Roman" w:hAnsi="Times New Roman" w:cs="Times New Roman"/>
          <w:bCs/>
          <w:i/>
          <w:sz w:val="24"/>
          <w:szCs w:val="24"/>
        </w:rPr>
        <w:t xml:space="preserve">La violencia social en Costa Rica. </w:t>
      </w:r>
      <w:r w:rsidRPr="00333D21">
        <w:rPr>
          <w:rFonts w:ascii="Times New Roman" w:hAnsi="Times New Roman" w:cs="Times New Roman"/>
          <w:bCs/>
          <w:sz w:val="24"/>
          <w:szCs w:val="24"/>
        </w:rPr>
        <w:t>Organización Panamericana de la Salud,</w:t>
      </w:r>
      <w:r w:rsidRPr="00333D21">
        <w:rPr>
          <w:rFonts w:ascii="Times New Roman" w:hAnsi="Times New Roman" w:cs="Times New Roman"/>
          <w:bCs/>
          <w:i/>
          <w:sz w:val="24"/>
          <w:szCs w:val="24"/>
        </w:rPr>
        <w:t xml:space="preserve"> </w:t>
      </w:r>
      <w:r w:rsidRPr="00333D21">
        <w:rPr>
          <w:rFonts w:ascii="Times New Roman" w:hAnsi="Times New Roman" w:cs="Times New Roman"/>
          <w:bCs/>
          <w:sz w:val="24"/>
          <w:szCs w:val="24"/>
        </w:rPr>
        <w:t xml:space="preserve">Ministerio de Salud de Costa Rica. </w:t>
      </w:r>
      <w:hyperlink r:id="rId49" w:history="1">
        <w:r w:rsidRPr="00333D21">
          <w:rPr>
            <w:rStyle w:val="Hipervnculo"/>
            <w:rFonts w:ascii="Times New Roman" w:hAnsi="Times New Roman" w:cs="Times New Roman"/>
            <w:bCs/>
            <w:color w:val="auto"/>
            <w:sz w:val="24"/>
            <w:szCs w:val="24"/>
            <w:u w:val="none"/>
          </w:rPr>
          <w:t>https://www.bvs.sa.cr/php/situacion/violencia</w:t>
        </w:r>
      </w:hyperlink>
    </w:p>
    <w:p w14:paraId="2F8709F4"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Cuervo, M y Martínez, J. (2013). Descripción y caracterización del ciclo de violencia que surge en la relación de pareja. </w:t>
      </w:r>
      <w:r w:rsidRPr="00333D21">
        <w:rPr>
          <w:rFonts w:ascii="Times New Roman" w:hAnsi="Times New Roman" w:cs="Times New Roman"/>
          <w:bCs/>
          <w:i/>
          <w:sz w:val="24"/>
          <w:szCs w:val="24"/>
        </w:rPr>
        <w:t>Revista Tesis Psicológica</w:t>
      </w:r>
      <w:r w:rsidRPr="00333D21">
        <w:rPr>
          <w:rFonts w:ascii="Times New Roman" w:hAnsi="Times New Roman" w:cs="Times New Roman"/>
          <w:bCs/>
          <w:sz w:val="24"/>
          <w:szCs w:val="24"/>
        </w:rPr>
        <w:t xml:space="preserve">, </w:t>
      </w:r>
      <w:r w:rsidRPr="00333D21">
        <w:rPr>
          <w:rFonts w:ascii="Times New Roman" w:hAnsi="Times New Roman" w:cs="Times New Roman"/>
          <w:bCs/>
          <w:i/>
          <w:sz w:val="24"/>
          <w:szCs w:val="24"/>
        </w:rPr>
        <w:t>8(1).</w:t>
      </w:r>
      <w:r w:rsidRPr="00333D21">
        <w:rPr>
          <w:rFonts w:ascii="Times New Roman" w:hAnsi="Times New Roman" w:cs="Times New Roman"/>
          <w:bCs/>
          <w:sz w:val="24"/>
          <w:szCs w:val="24"/>
        </w:rPr>
        <w:t xml:space="preserve"> </w:t>
      </w:r>
      <w:hyperlink r:id="rId50" w:history="1">
        <w:r w:rsidRPr="00333D21">
          <w:rPr>
            <w:rStyle w:val="Hipervnculo"/>
            <w:rFonts w:ascii="Times New Roman" w:hAnsi="Times New Roman" w:cs="Times New Roman"/>
            <w:bCs/>
            <w:color w:val="auto"/>
            <w:sz w:val="24"/>
            <w:szCs w:val="24"/>
            <w:u w:val="none"/>
          </w:rPr>
          <w:t>https://www.redalyc.org/pdf/1390/139029198007.pdf</w:t>
        </w:r>
      </w:hyperlink>
    </w:p>
    <w:p w14:paraId="6A95AD4E" w14:textId="77777777" w:rsidR="003E55D9" w:rsidRPr="00333D21" w:rsidRDefault="003E55D9" w:rsidP="003E55D9">
      <w:pPr>
        <w:pStyle w:val="Standard"/>
        <w:spacing w:after="0" w:line="360" w:lineRule="auto"/>
        <w:ind w:left="709" w:hanging="709"/>
        <w:jc w:val="both"/>
        <w:rPr>
          <w:lang w:val="en-US"/>
        </w:rPr>
      </w:pPr>
      <w:r w:rsidRPr="00333D21">
        <w:rPr>
          <w:rFonts w:ascii="Times New Roman" w:hAnsi="Times New Roman" w:cs="Times New Roman"/>
          <w:bCs/>
          <w:sz w:val="24"/>
          <w:szCs w:val="24"/>
        </w:rPr>
        <w:t xml:space="preserve">Del Cid, A., Méndez, R. y Sandoval, F. (2011). </w:t>
      </w:r>
      <w:r w:rsidRPr="00333D21">
        <w:rPr>
          <w:rFonts w:ascii="Times New Roman" w:hAnsi="Times New Roman" w:cs="Times New Roman"/>
          <w:bCs/>
          <w:i/>
          <w:sz w:val="24"/>
          <w:szCs w:val="24"/>
        </w:rPr>
        <w:t>Investigación, fundamentos y metodología.</w:t>
      </w:r>
      <w:r w:rsidRPr="00333D21">
        <w:rPr>
          <w:rFonts w:ascii="Times New Roman" w:hAnsi="Times New Roman" w:cs="Times New Roman"/>
          <w:bCs/>
          <w:sz w:val="24"/>
          <w:szCs w:val="24"/>
        </w:rPr>
        <w:t xml:space="preserve"> (2da. ed.) </w:t>
      </w:r>
      <w:r w:rsidRPr="00333D21">
        <w:rPr>
          <w:rFonts w:ascii="Times New Roman" w:hAnsi="Times New Roman" w:cs="Times New Roman"/>
          <w:bCs/>
          <w:sz w:val="24"/>
          <w:szCs w:val="24"/>
          <w:lang w:val="en-US"/>
        </w:rPr>
        <w:t xml:space="preserve">Pearson. </w:t>
      </w:r>
      <w:hyperlink r:id="rId51" w:history="1">
        <w:r w:rsidRPr="00333D21">
          <w:rPr>
            <w:rStyle w:val="Hipervnculo"/>
            <w:color w:val="auto"/>
            <w:u w:val="none"/>
            <w:lang w:val="en-US"/>
          </w:rPr>
          <w:t>https://josedominguezblog.files.wordpress.com/2015/06/investigacion-fundamentos-y-metodologia.pdf</w:t>
        </w:r>
      </w:hyperlink>
    </w:p>
    <w:p w14:paraId="0B26771C" w14:textId="77777777" w:rsidR="003E55D9" w:rsidRPr="00333D21" w:rsidRDefault="003E55D9" w:rsidP="003E55D9">
      <w:pPr>
        <w:pStyle w:val="Standard"/>
        <w:spacing w:after="0" w:line="360" w:lineRule="auto"/>
        <w:ind w:left="709" w:hanging="709"/>
        <w:jc w:val="both"/>
        <w:rPr>
          <w:rStyle w:val="Hipervnculo"/>
          <w:rFonts w:ascii="Times New Roman" w:hAnsi="Times New Roman" w:cs="Times New Roman"/>
          <w:bCs/>
          <w:color w:val="auto"/>
          <w:sz w:val="24"/>
          <w:szCs w:val="24"/>
          <w:u w:val="none"/>
        </w:rPr>
      </w:pPr>
      <w:r w:rsidRPr="00333D21">
        <w:rPr>
          <w:rFonts w:ascii="Times New Roman" w:hAnsi="Times New Roman" w:cs="Times New Roman"/>
          <w:bCs/>
          <w:sz w:val="24"/>
          <w:szCs w:val="24"/>
        </w:rPr>
        <w:t xml:space="preserve">Díaz-Martínez A. y Esteban-Jiménez R. (2003). Violencia intrafamiliar. </w:t>
      </w:r>
      <w:r w:rsidRPr="00333D21">
        <w:rPr>
          <w:rFonts w:ascii="Times New Roman" w:hAnsi="Times New Roman" w:cs="Times New Roman"/>
          <w:bCs/>
          <w:i/>
          <w:sz w:val="24"/>
          <w:szCs w:val="24"/>
        </w:rPr>
        <w:t>Gaceta Médica de México.</w:t>
      </w:r>
      <w:r w:rsidRPr="00333D21">
        <w:rPr>
          <w:rFonts w:ascii="Times New Roman" w:hAnsi="Times New Roman" w:cs="Times New Roman"/>
          <w:bCs/>
          <w:sz w:val="24"/>
          <w:szCs w:val="24"/>
        </w:rPr>
        <w:t xml:space="preserve"> https://www.medigraphic.com/cgi-bin/new/resumen.cgi?IDARTICULO=4832</w:t>
      </w:r>
    </w:p>
    <w:p w14:paraId="5DB4249E" w14:textId="77777777" w:rsidR="003E55D9" w:rsidRPr="00333D21" w:rsidRDefault="003E55D9" w:rsidP="003E55D9">
      <w:pPr>
        <w:pStyle w:val="Textbody"/>
        <w:spacing w:after="0" w:line="360" w:lineRule="auto"/>
        <w:ind w:left="709" w:hanging="709"/>
        <w:jc w:val="both"/>
      </w:pPr>
      <w:r w:rsidRPr="00333D21">
        <w:rPr>
          <w:rFonts w:ascii="Times New Roman" w:hAnsi="Times New Roman" w:cs="Times New Roman"/>
          <w:sz w:val="24"/>
          <w:szCs w:val="24"/>
        </w:rPr>
        <w:t>Educo. (2019). ¿</w:t>
      </w:r>
      <w:r w:rsidRPr="00333D21">
        <w:rPr>
          <w:rFonts w:ascii="Times New Roman" w:hAnsi="Times New Roman" w:cs="Times New Roman"/>
          <w:i/>
          <w:sz w:val="24"/>
          <w:szCs w:val="24"/>
        </w:rPr>
        <w:t>Qué es la perspectiva de género y por qué es importante?</w:t>
      </w:r>
      <w:r w:rsidRPr="00333D21">
        <w:rPr>
          <w:rFonts w:ascii="Times New Roman" w:hAnsi="Times New Roman" w:cs="Times New Roman"/>
          <w:sz w:val="24"/>
          <w:szCs w:val="24"/>
        </w:rPr>
        <w:t xml:space="preserve"> https://www.educo.org/Blog/Que-es-perspectiva-de-genero-y-su-importancia</w:t>
      </w:r>
    </w:p>
    <w:p w14:paraId="62EDAB1F" w14:textId="77777777" w:rsidR="003E55D9" w:rsidRPr="00333D21" w:rsidRDefault="003E55D9" w:rsidP="003E55D9">
      <w:pPr>
        <w:pStyle w:val="Standard"/>
        <w:spacing w:after="0" w:line="360" w:lineRule="auto"/>
        <w:ind w:left="709" w:hanging="709"/>
        <w:jc w:val="both"/>
        <w:rPr>
          <w:rFonts w:ascii="Times New Roman" w:hAnsi="Times New Roman" w:cs="Times New Roman"/>
          <w:sz w:val="24"/>
          <w:szCs w:val="24"/>
        </w:rPr>
      </w:pPr>
      <w:r w:rsidRPr="00333D21">
        <w:rPr>
          <w:rFonts w:ascii="Times New Roman" w:eastAsia="Calibri" w:hAnsi="Times New Roman" w:cs="Times New Roman"/>
          <w:bCs/>
          <w:sz w:val="24"/>
          <w:szCs w:val="24"/>
        </w:rPr>
        <w:t xml:space="preserve">Facio, A. y </w:t>
      </w:r>
      <w:proofErr w:type="spellStart"/>
      <w:r w:rsidRPr="00333D21">
        <w:rPr>
          <w:rFonts w:ascii="Times New Roman" w:eastAsia="Calibri" w:hAnsi="Times New Roman" w:cs="Times New Roman"/>
          <w:bCs/>
          <w:sz w:val="24"/>
          <w:szCs w:val="24"/>
        </w:rPr>
        <w:t>Fries</w:t>
      </w:r>
      <w:proofErr w:type="spellEnd"/>
      <w:r w:rsidRPr="00333D21">
        <w:rPr>
          <w:rFonts w:ascii="Times New Roman" w:eastAsia="Calibri" w:hAnsi="Times New Roman" w:cs="Times New Roman"/>
          <w:bCs/>
          <w:sz w:val="24"/>
          <w:szCs w:val="24"/>
        </w:rPr>
        <w:t xml:space="preserve">, L. (1999). </w:t>
      </w:r>
      <w:r w:rsidRPr="00333D21">
        <w:rPr>
          <w:rFonts w:ascii="Times New Roman" w:hAnsi="Times New Roman" w:cs="Times New Roman"/>
          <w:i/>
          <w:sz w:val="24"/>
          <w:szCs w:val="24"/>
        </w:rPr>
        <w:t>Feminismo, Género y Patriarcado</w:t>
      </w:r>
      <w:r w:rsidRPr="00333D21">
        <w:rPr>
          <w:rFonts w:ascii="Times New Roman" w:hAnsi="Times New Roman" w:cs="Times New Roman"/>
          <w:sz w:val="24"/>
          <w:szCs w:val="24"/>
        </w:rPr>
        <w:t xml:space="preserve">. </w:t>
      </w:r>
      <w:hyperlink r:id="rId52" w:history="1">
        <w:r w:rsidRPr="00333D21">
          <w:rPr>
            <w:rStyle w:val="Hipervnculo"/>
            <w:rFonts w:ascii="Times New Roman" w:hAnsi="Times New Roman" w:cs="Times New Roman"/>
            <w:color w:val="auto"/>
            <w:kern w:val="0"/>
            <w:sz w:val="24"/>
            <w:szCs w:val="24"/>
            <w:u w:val="none"/>
          </w:rPr>
          <w:t>http://fundacionjyg.org/wp-content/uploads/2018/05/Genero-y-Derecho.pdf</w:t>
        </w:r>
      </w:hyperlink>
      <w:r w:rsidRPr="00333D21">
        <w:rPr>
          <w:rFonts w:ascii="Times New Roman" w:eastAsia="Calibri" w:hAnsi="Times New Roman" w:cs="Times New Roman"/>
          <w:bCs/>
          <w:sz w:val="24"/>
          <w:szCs w:val="24"/>
        </w:rPr>
        <w:t xml:space="preserve"> </w:t>
      </w:r>
    </w:p>
    <w:p w14:paraId="52CAA96A" w14:textId="77777777" w:rsidR="003E55D9" w:rsidRPr="00333D21" w:rsidRDefault="003E55D9" w:rsidP="003E55D9">
      <w:pPr>
        <w:pStyle w:val="uk-text-justify"/>
        <w:shd w:val="clear" w:color="auto" w:fill="FFFFFF"/>
        <w:spacing w:before="0" w:after="0" w:line="360" w:lineRule="auto"/>
        <w:ind w:left="709" w:hanging="709"/>
        <w:jc w:val="both"/>
      </w:pPr>
      <w:proofErr w:type="spellStart"/>
      <w:r w:rsidRPr="00333D21">
        <w:rPr>
          <w:bCs/>
        </w:rPr>
        <w:t>Feito</w:t>
      </w:r>
      <w:proofErr w:type="spellEnd"/>
      <w:r w:rsidRPr="00333D21">
        <w:rPr>
          <w:bCs/>
        </w:rPr>
        <w:t xml:space="preserve">, I. (2007). Vulnerabilidad. Anales del Sistema Sanitario de Navarra, </w:t>
      </w:r>
      <w:r w:rsidRPr="00333D21">
        <w:rPr>
          <w:bCs/>
          <w:i/>
        </w:rPr>
        <w:t>30(3</w:t>
      </w:r>
      <w:proofErr w:type="gramStart"/>
      <w:r w:rsidRPr="00333D21">
        <w:rPr>
          <w:bCs/>
          <w:i/>
        </w:rPr>
        <w:t>)</w:t>
      </w:r>
      <w:r w:rsidRPr="00333D21">
        <w:rPr>
          <w:bCs/>
        </w:rPr>
        <w:t> .</w:t>
      </w:r>
      <w:proofErr w:type="gramEnd"/>
      <w:r w:rsidRPr="00333D21">
        <w:rPr>
          <w:bCs/>
        </w:rPr>
        <w:t xml:space="preserve"> http://scielo.isciii.es/scielo.php?script=sci_arttext&amp;pid=S1137-66272007000600002#</w:t>
      </w:r>
    </w:p>
    <w:p w14:paraId="43D22997"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Fernández, X. (2008). Construcción social del género: conceptos básicos. </w:t>
      </w:r>
      <w:r w:rsidRPr="00333D21">
        <w:rPr>
          <w:rFonts w:ascii="Times New Roman" w:hAnsi="Times New Roman" w:cs="Times New Roman"/>
          <w:bCs/>
          <w:i/>
          <w:sz w:val="24"/>
          <w:szCs w:val="24"/>
        </w:rPr>
        <w:t>Antología del curso de sensibilización sobre la penalización de VCM.</w:t>
      </w:r>
      <w:r w:rsidRPr="00333D21">
        <w:rPr>
          <w:rFonts w:ascii="Times New Roman" w:hAnsi="Times New Roman" w:cs="Times New Roman"/>
          <w:bCs/>
          <w:sz w:val="24"/>
          <w:szCs w:val="24"/>
        </w:rPr>
        <w:t xml:space="preserve"> </w:t>
      </w:r>
      <w:hyperlink r:id="rId53" w:history="1">
        <w:r w:rsidRPr="00333D21">
          <w:rPr>
            <w:rStyle w:val="Hipervnculo"/>
            <w:rFonts w:ascii="Times New Roman" w:hAnsi="Times New Roman" w:cs="Times New Roman"/>
            <w:bCs/>
            <w:color w:val="auto"/>
            <w:sz w:val="24"/>
            <w:szCs w:val="24"/>
            <w:u w:val="none"/>
          </w:rPr>
          <w:t>https://www.academia.edu/37228615/Construcci%C3%B3n_social_del_g%C3%A9nero_conceptos_b%C3%A1sicos</w:t>
        </w:r>
      </w:hyperlink>
      <w:r w:rsidRPr="00333D21">
        <w:rPr>
          <w:rFonts w:ascii="Times New Roman" w:hAnsi="Times New Roman" w:cs="Times New Roman"/>
          <w:bCs/>
          <w:sz w:val="24"/>
          <w:szCs w:val="24"/>
        </w:rPr>
        <w:t>.</w:t>
      </w:r>
    </w:p>
    <w:p w14:paraId="709256C6"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Gómez, E. (s.f.). Limitaciones cognitivas. </w:t>
      </w:r>
      <w:r w:rsidRPr="00333D21">
        <w:rPr>
          <w:rFonts w:ascii="Times New Roman" w:hAnsi="Times New Roman" w:cs="Times New Roman"/>
          <w:bCs/>
          <w:i/>
          <w:sz w:val="24"/>
          <w:szCs w:val="24"/>
        </w:rPr>
        <w:t>Conciencia: Capítulo 6</w:t>
      </w:r>
      <w:r w:rsidRPr="00333D21">
        <w:rPr>
          <w:rFonts w:ascii="Times New Roman" w:hAnsi="Times New Roman" w:cs="Times New Roman"/>
          <w:bCs/>
          <w:sz w:val="24"/>
          <w:szCs w:val="24"/>
        </w:rPr>
        <w:t xml:space="preserve">. </w:t>
      </w:r>
      <w:hyperlink r:id="rId54" w:history="1">
        <w:r w:rsidRPr="00333D21">
          <w:rPr>
            <w:rStyle w:val="Hipervnculo"/>
            <w:rFonts w:ascii="Times New Roman" w:hAnsi="Times New Roman" w:cs="Times New Roman"/>
            <w:bCs/>
            <w:color w:val="auto"/>
            <w:sz w:val="24"/>
            <w:szCs w:val="24"/>
            <w:u w:val="none"/>
          </w:rPr>
          <w:t>https://www.ugr.es/~setchift/docs/conciencia 6.</w:t>
        </w:r>
      </w:hyperlink>
    </w:p>
    <w:p w14:paraId="3917F0BA"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lastRenderedPageBreak/>
        <w:t xml:space="preserve">Gómez, E. y De Córdoba, M. (2014). </w:t>
      </w:r>
      <w:r w:rsidRPr="00333D21">
        <w:rPr>
          <w:rFonts w:ascii="Times New Roman" w:hAnsi="Times New Roman" w:cs="Times New Roman"/>
          <w:bCs/>
          <w:i/>
          <w:sz w:val="24"/>
          <w:szCs w:val="24"/>
        </w:rPr>
        <w:t>Flexibilidad Mental.</w:t>
      </w:r>
      <w:r w:rsidRPr="00333D21">
        <w:rPr>
          <w:rFonts w:ascii="Times New Roman" w:hAnsi="Times New Roman" w:cs="Times New Roman"/>
          <w:bCs/>
          <w:sz w:val="24"/>
          <w:szCs w:val="24"/>
        </w:rPr>
        <w:t xml:space="preserve"> https://www.researchgate.net/publication/267327537_Flexibilidad_Mental/link/5900ed11aca2725bd71f82b8/download</w:t>
      </w:r>
    </w:p>
    <w:p w14:paraId="667AE0B7"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Guzmán, L. (1990). Roles sexuales, roles de género, poder: ¿significan lo mismo? </w:t>
      </w:r>
      <w:r w:rsidRPr="00333D21">
        <w:rPr>
          <w:rFonts w:ascii="Times New Roman" w:hAnsi="Times New Roman" w:cs="Times New Roman"/>
          <w:bCs/>
          <w:i/>
          <w:sz w:val="24"/>
          <w:szCs w:val="24"/>
        </w:rPr>
        <w:t>Programa mujer y Derechos Humanos, Instituto Interamericano de Derecho Humano.</w:t>
      </w:r>
      <w:r w:rsidRPr="00333D21">
        <w:rPr>
          <w:rFonts w:ascii="Times New Roman" w:hAnsi="Times New Roman" w:cs="Times New Roman"/>
          <w:bCs/>
          <w:sz w:val="24"/>
          <w:szCs w:val="24"/>
        </w:rPr>
        <w:t xml:space="preserve"> http://www.ts.ucr.ac.cr/binarios/docente/pd-000124</w:t>
      </w:r>
    </w:p>
    <w:p w14:paraId="130BC1D2"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Hernández, R., Fernández, C. y Baptista, P. (2014) </w:t>
      </w:r>
      <w:r w:rsidRPr="00333D21">
        <w:rPr>
          <w:rFonts w:ascii="Times New Roman" w:hAnsi="Times New Roman" w:cs="Times New Roman"/>
          <w:bCs/>
          <w:i/>
          <w:sz w:val="24"/>
          <w:szCs w:val="24"/>
        </w:rPr>
        <w:t>Metodología de la Investigación.</w:t>
      </w:r>
      <w:r w:rsidRPr="00333D21">
        <w:rPr>
          <w:rFonts w:ascii="Times New Roman" w:hAnsi="Times New Roman" w:cs="Times New Roman"/>
          <w:bCs/>
          <w:sz w:val="24"/>
          <w:szCs w:val="24"/>
        </w:rPr>
        <w:t xml:space="preserve"> McGraw-Hill/Interamericana Editores, S. A. de C. V. </w:t>
      </w:r>
      <w:hyperlink r:id="rId55" w:history="1">
        <w:r w:rsidRPr="00333D21">
          <w:rPr>
            <w:rStyle w:val="Hipervnculo"/>
            <w:rFonts w:ascii="Times New Roman" w:hAnsi="Times New Roman" w:cs="Times New Roman"/>
            <w:bCs/>
            <w:color w:val="auto"/>
            <w:sz w:val="24"/>
            <w:szCs w:val="24"/>
            <w:u w:val="none"/>
          </w:rPr>
          <w:t>https://www.uca.ac.cr/wp-content/uploads/2017/10/Investigacion.pdf</w:t>
        </w:r>
      </w:hyperlink>
    </w:p>
    <w:p w14:paraId="45175A00"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Horno, N. (1993). </w:t>
      </w:r>
      <w:r w:rsidRPr="00333D21">
        <w:rPr>
          <w:rFonts w:ascii="Times New Roman" w:hAnsi="Times New Roman" w:cs="Times New Roman"/>
          <w:bCs/>
          <w:i/>
          <w:sz w:val="24"/>
          <w:szCs w:val="24"/>
        </w:rPr>
        <w:t>Habilidades para la vida</w:t>
      </w:r>
      <w:r w:rsidRPr="00333D21">
        <w:rPr>
          <w:rFonts w:ascii="Times New Roman" w:hAnsi="Times New Roman" w:cs="Times New Roman"/>
          <w:bCs/>
          <w:sz w:val="24"/>
          <w:szCs w:val="24"/>
        </w:rPr>
        <w:t xml:space="preserve">. </w:t>
      </w:r>
      <w:hyperlink r:id="rId56" w:history="1">
        <w:r w:rsidRPr="00333D21">
          <w:rPr>
            <w:rStyle w:val="Hipervnculo"/>
            <w:rFonts w:ascii="Times New Roman" w:hAnsi="Times New Roman" w:cs="Times New Roman"/>
            <w:bCs/>
            <w:color w:val="auto"/>
            <w:sz w:val="24"/>
            <w:szCs w:val="24"/>
            <w:u w:val="none"/>
          </w:rPr>
          <w:t>http://www.codajic.org/sites/www.codajic.org.</w:t>
        </w:r>
      </w:hyperlink>
    </w:p>
    <w:p w14:paraId="2BE47B22" w14:textId="77777777" w:rsidR="003E55D9" w:rsidRPr="00333D21" w:rsidRDefault="003E55D9" w:rsidP="003E55D9">
      <w:pPr>
        <w:pStyle w:val="uk-text-justify"/>
        <w:shd w:val="clear" w:color="auto" w:fill="FFFFFF"/>
        <w:spacing w:before="0" w:after="0" w:line="360" w:lineRule="auto"/>
        <w:ind w:left="709" w:hanging="709"/>
        <w:jc w:val="both"/>
        <w:rPr>
          <w:lang w:val="en-US"/>
        </w:rPr>
      </w:pPr>
      <w:r w:rsidRPr="00333D21">
        <w:rPr>
          <w:bCs/>
        </w:rPr>
        <w:t xml:space="preserve">Instituto Interamericano de Derechos Humanos (2004). </w:t>
      </w:r>
      <w:r w:rsidRPr="00333D21">
        <w:rPr>
          <w:bCs/>
          <w:i/>
        </w:rPr>
        <w:t xml:space="preserve">Convención CEDAW y Protocolo Facultativo. Convención sobre la Eliminación de todas las formas de discriminación contra la </w:t>
      </w:r>
      <w:proofErr w:type="gramStart"/>
      <w:r w:rsidRPr="00333D21">
        <w:rPr>
          <w:bCs/>
          <w:i/>
        </w:rPr>
        <w:t>mujer.</w:t>
      </w:r>
      <w:r w:rsidRPr="00333D21">
        <w:rPr>
          <w:bCs/>
        </w:rPr>
        <w:t>–</w:t>
      </w:r>
      <w:proofErr w:type="gramEnd"/>
      <w:r w:rsidRPr="00333D21">
        <w:rPr>
          <w:bCs/>
        </w:rPr>
        <w:t xml:space="preserve"> </w:t>
      </w:r>
      <w:r w:rsidRPr="00333D21">
        <w:rPr>
          <w:bCs/>
          <w:lang w:val="en-US"/>
        </w:rPr>
        <w:t xml:space="preserve">(2 ed.) </w:t>
      </w:r>
      <w:hyperlink r:id="rId57" w:history="1">
        <w:r w:rsidRPr="00333D21">
          <w:rPr>
            <w:rStyle w:val="Hipervnculo"/>
            <w:color w:val="auto"/>
            <w:u w:val="none"/>
            <w:lang w:val="en-US"/>
          </w:rPr>
          <w:t>https://www.iidh.ed.cr/IIDH/media/1838/convencicion-cedaw-protocolof-2004.pdf</w:t>
        </w:r>
      </w:hyperlink>
    </w:p>
    <w:p w14:paraId="7754859D"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Instituto Nacional de las Mujeres. (2018). </w:t>
      </w:r>
      <w:r w:rsidRPr="00333D21">
        <w:rPr>
          <w:rFonts w:ascii="Times New Roman" w:hAnsi="Times New Roman" w:cs="Times New Roman"/>
          <w:bCs/>
          <w:i/>
          <w:sz w:val="24"/>
          <w:szCs w:val="24"/>
        </w:rPr>
        <w:t>Ley de creación del INAMU.</w:t>
      </w:r>
      <w:r w:rsidRPr="00333D21">
        <w:rPr>
          <w:rFonts w:ascii="Times New Roman" w:hAnsi="Times New Roman" w:cs="Times New Roman"/>
          <w:bCs/>
          <w:sz w:val="24"/>
          <w:szCs w:val="24"/>
        </w:rPr>
        <w:t xml:space="preserve"> </w:t>
      </w:r>
      <w:hyperlink r:id="rId58" w:history="1">
        <w:r w:rsidRPr="00333D21">
          <w:rPr>
            <w:rStyle w:val="Hipervnculo"/>
            <w:rFonts w:ascii="Times New Roman" w:hAnsi="Times New Roman" w:cs="Times New Roman"/>
            <w:bCs/>
            <w:color w:val="auto"/>
            <w:sz w:val="24"/>
            <w:szCs w:val="24"/>
            <w:u w:val="none"/>
          </w:rPr>
          <w:t>https://www.inamu.go.cr/documents/</w:t>
        </w:r>
      </w:hyperlink>
    </w:p>
    <w:p w14:paraId="0096D612"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Jiménez, R. (2007). </w:t>
      </w:r>
      <w:r w:rsidRPr="00333D21">
        <w:rPr>
          <w:rFonts w:ascii="Times New Roman" w:hAnsi="Times New Roman" w:cs="Times New Roman"/>
          <w:bCs/>
          <w:i/>
          <w:sz w:val="24"/>
          <w:szCs w:val="24"/>
        </w:rPr>
        <w:t>Justicia en la violencia intrafamiliar.</w:t>
      </w:r>
      <w:r w:rsidRPr="00333D21">
        <w:rPr>
          <w:rFonts w:ascii="Times New Roman" w:hAnsi="Times New Roman" w:cs="Times New Roman"/>
          <w:bCs/>
          <w:sz w:val="24"/>
          <w:szCs w:val="24"/>
        </w:rPr>
        <w:t xml:space="preserve"> (1ª ed.) Justicia y Género. </w:t>
      </w:r>
      <w:hyperlink r:id="rId59" w:history="1">
        <w:r w:rsidRPr="00333D21">
          <w:rPr>
            <w:rStyle w:val="Hipervnculo"/>
            <w:rFonts w:ascii="Times New Roman" w:hAnsi="Times New Roman" w:cs="Times New Roman"/>
            <w:bCs/>
            <w:color w:val="auto"/>
            <w:sz w:val="24"/>
            <w:szCs w:val="24"/>
            <w:u w:val="none"/>
          </w:rPr>
          <w:t>https://observatoriojusticiaygenero.gob.do/documentos/transparencia/informe_diagnostico_difnag.pdf</w:t>
        </w:r>
      </w:hyperlink>
    </w:p>
    <w:p w14:paraId="359F11BC" w14:textId="77777777" w:rsidR="003E55D9" w:rsidRPr="00333D21" w:rsidRDefault="003E55D9" w:rsidP="003E55D9">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 xml:space="preserve">Labrador, F., Fernández-Velasco, M. y Rincón, P. (2010). Características psicopatológicas de mujeres víctimas de violencia de pareja. </w:t>
      </w:r>
      <w:r w:rsidRPr="00333D21">
        <w:rPr>
          <w:rFonts w:ascii="Times New Roman" w:hAnsi="Times New Roman" w:cs="Times New Roman"/>
          <w:bCs/>
          <w:i/>
          <w:sz w:val="24"/>
          <w:szCs w:val="24"/>
        </w:rPr>
        <w:t xml:space="preserve">Revista </w:t>
      </w:r>
      <w:proofErr w:type="spellStart"/>
      <w:r w:rsidRPr="00333D21">
        <w:rPr>
          <w:rFonts w:ascii="Times New Roman" w:hAnsi="Times New Roman" w:cs="Times New Roman"/>
          <w:bCs/>
          <w:i/>
          <w:sz w:val="24"/>
          <w:szCs w:val="24"/>
        </w:rPr>
        <w:t>Psicothema</w:t>
      </w:r>
      <w:proofErr w:type="spellEnd"/>
      <w:r w:rsidRPr="00333D21">
        <w:rPr>
          <w:rFonts w:ascii="Times New Roman" w:hAnsi="Times New Roman" w:cs="Times New Roman"/>
          <w:bCs/>
          <w:sz w:val="24"/>
          <w:szCs w:val="24"/>
        </w:rPr>
        <w:t xml:space="preserve">, </w:t>
      </w:r>
      <w:r w:rsidRPr="00333D21">
        <w:rPr>
          <w:rFonts w:ascii="Times New Roman" w:hAnsi="Times New Roman" w:cs="Times New Roman"/>
          <w:bCs/>
          <w:i/>
          <w:sz w:val="24"/>
          <w:szCs w:val="24"/>
        </w:rPr>
        <w:t>22(1).</w:t>
      </w:r>
      <w:r w:rsidRPr="00333D21">
        <w:rPr>
          <w:rFonts w:ascii="Times New Roman" w:hAnsi="Times New Roman" w:cs="Times New Roman"/>
          <w:bCs/>
          <w:sz w:val="24"/>
          <w:szCs w:val="24"/>
        </w:rPr>
        <w:t xml:space="preserve"> https://www.redalyc.org/pdf/727/72712699016.pdf</w:t>
      </w:r>
    </w:p>
    <w:p w14:paraId="32781EAF" w14:textId="77777777" w:rsidR="003E55D9" w:rsidRPr="00333D21" w:rsidRDefault="003E55D9" w:rsidP="003E55D9">
      <w:pPr>
        <w:pStyle w:val="Standard"/>
        <w:spacing w:after="0" w:line="360" w:lineRule="auto"/>
        <w:ind w:left="709" w:hanging="709"/>
        <w:jc w:val="both"/>
        <w:rPr>
          <w:rFonts w:ascii="Times New Roman" w:hAnsi="Times New Roman" w:cs="Times New Roman"/>
          <w:sz w:val="24"/>
        </w:rPr>
      </w:pPr>
      <w:proofErr w:type="spellStart"/>
      <w:r w:rsidRPr="00333D21">
        <w:rPr>
          <w:rFonts w:ascii="Times New Roman" w:hAnsi="Times New Roman" w:cs="Times New Roman"/>
          <w:sz w:val="24"/>
        </w:rPr>
        <w:t>Labrin</w:t>
      </w:r>
      <w:proofErr w:type="spellEnd"/>
      <w:r w:rsidRPr="00333D21">
        <w:rPr>
          <w:rFonts w:ascii="Times New Roman" w:hAnsi="Times New Roman" w:cs="Times New Roman"/>
          <w:sz w:val="24"/>
        </w:rPr>
        <w:t xml:space="preserve">, M. (2012) El desarrollo de las habilidades cognitivas superiores: una propuesta de intervención didáctica en el aula. Revista Educación y Tecnología, N°2. </w:t>
      </w:r>
      <w:proofErr w:type="spellStart"/>
      <w:r w:rsidRPr="00333D21">
        <w:rPr>
          <w:rFonts w:ascii="Times New Roman" w:hAnsi="Times New Roman" w:cs="Times New Roman"/>
          <w:sz w:val="24"/>
        </w:rPr>
        <w:t>Pp</w:t>
      </w:r>
      <w:proofErr w:type="spellEnd"/>
      <w:r w:rsidRPr="00333D21">
        <w:rPr>
          <w:rFonts w:ascii="Times New Roman" w:hAnsi="Times New Roman" w:cs="Times New Roman"/>
          <w:sz w:val="24"/>
        </w:rPr>
        <w:t>- 56-68</w:t>
      </w:r>
    </w:p>
    <w:p w14:paraId="453DE628"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Lorenzo, O. y </w:t>
      </w:r>
      <w:proofErr w:type="spellStart"/>
      <w:r w:rsidRPr="00333D21">
        <w:rPr>
          <w:rFonts w:ascii="Times New Roman" w:hAnsi="Times New Roman" w:cs="Times New Roman"/>
          <w:bCs/>
          <w:sz w:val="24"/>
          <w:szCs w:val="24"/>
        </w:rPr>
        <w:t>Fontán</w:t>
      </w:r>
      <w:proofErr w:type="spellEnd"/>
      <w:r w:rsidRPr="00333D21">
        <w:rPr>
          <w:rFonts w:ascii="Times New Roman" w:hAnsi="Times New Roman" w:cs="Times New Roman"/>
          <w:bCs/>
          <w:sz w:val="24"/>
          <w:szCs w:val="24"/>
        </w:rPr>
        <w:t xml:space="preserve">, L. (2001). La rehabilitación de los trastornos cognitivos. </w:t>
      </w:r>
      <w:r w:rsidRPr="00333D21">
        <w:rPr>
          <w:rFonts w:ascii="Times New Roman" w:hAnsi="Times New Roman" w:cs="Times New Roman"/>
          <w:bCs/>
          <w:i/>
          <w:sz w:val="24"/>
          <w:szCs w:val="24"/>
        </w:rPr>
        <w:t>Revista Médica Uruguay.</w:t>
      </w:r>
      <w:r w:rsidRPr="00333D21">
        <w:rPr>
          <w:rFonts w:ascii="Times New Roman" w:hAnsi="Times New Roman" w:cs="Times New Roman"/>
          <w:bCs/>
          <w:sz w:val="24"/>
          <w:szCs w:val="24"/>
        </w:rPr>
        <w:t xml:space="preserve"> </w:t>
      </w:r>
      <w:hyperlink r:id="rId60" w:history="1">
        <w:r w:rsidRPr="00333D21">
          <w:rPr>
            <w:rStyle w:val="Hipervnculo"/>
            <w:rFonts w:ascii="Times New Roman" w:hAnsi="Times New Roman" w:cs="Times New Roman"/>
            <w:bCs/>
            <w:color w:val="auto"/>
            <w:sz w:val="24"/>
            <w:szCs w:val="24"/>
            <w:u w:val="none"/>
          </w:rPr>
          <w:t>https://pdfs.semanticscholar.org/.pdf</w:t>
        </w:r>
      </w:hyperlink>
    </w:p>
    <w:p w14:paraId="72B36A6A" w14:textId="77777777" w:rsidR="003E55D9" w:rsidRPr="00333D21" w:rsidRDefault="003E55D9" w:rsidP="003E55D9">
      <w:pPr>
        <w:pStyle w:val="Standard"/>
        <w:spacing w:after="0" w:line="360" w:lineRule="auto"/>
        <w:ind w:left="709" w:hanging="709"/>
        <w:jc w:val="both"/>
      </w:pPr>
      <w:proofErr w:type="spellStart"/>
      <w:r w:rsidRPr="00333D21">
        <w:rPr>
          <w:rFonts w:ascii="Times New Roman" w:hAnsi="Times New Roman" w:cs="Times New Roman"/>
          <w:bCs/>
          <w:sz w:val="24"/>
          <w:szCs w:val="24"/>
        </w:rPr>
        <w:t>Maranto</w:t>
      </w:r>
      <w:proofErr w:type="spellEnd"/>
      <w:r w:rsidRPr="00333D21">
        <w:rPr>
          <w:rFonts w:ascii="Times New Roman" w:hAnsi="Times New Roman" w:cs="Times New Roman"/>
          <w:bCs/>
          <w:sz w:val="24"/>
          <w:szCs w:val="24"/>
        </w:rPr>
        <w:t xml:space="preserve">, M. y González, M. (2015) Fuentes de Información. Universidad Autónoma del Estado de Hidalgo. </w:t>
      </w:r>
      <w:hyperlink r:id="rId61" w:history="1">
        <w:r w:rsidRPr="00333D21">
          <w:rPr>
            <w:rStyle w:val="Hipervnculo"/>
            <w:rFonts w:ascii="Times New Roman" w:hAnsi="Times New Roman" w:cs="Times New Roman"/>
            <w:bCs/>
            <w:color w:val="auto"/>
            <w:sz w:val="24"/>
            <w:szCs w:val="24"/>
            <w:u w:val="none"/>
          </w:rPr>
          <w:t>https://repository.uaeh.edu.mx/bitstream/bitstream/handle/123456789/16700/LECT132.</w:t>
        </w:r>
      </w:hyperlink>
    </w:p>
    <w:p w14:paraId="68065533"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lastRenderedPageBreak/>
        <w:t xml:space="preserve">Martínez, V. (2014). Habilidades para la vida: una propuesta de formación humana. </w:t>
      </w:r>
      <w:r w:rsidRPr="00333D21">
        <w:rPr>
          <w:rFonts w:ascii="Times New Roman" w:hAnsi="Times New Roman" w:cs="Times New Roman"/>
          <w:bCs/>
          <w:i/>
          <w:sz w:val="24"/>
          <w:szCs w:val="24"/>
        </w:rPr>
        <w:t>Itinerario educativo XXVIII.</w:t>
      </w:r>
      <w:r w:rsidRPr="00333D21">
        <w:rPr>
          <w:rFonts w:ascii="Times New Roman" w:hAnsi="Times New Roman" w:cs="Times New Roman"/>
          <w:bCs/>
          <w:sz w:val="24"/>
          <w:szCs w:val="24"/>
        </w:rPr>
        <w:t xml:space="preserve"> revistas.usb.edu.co.</w:t>
      </w:r>
    </w:p>
    <w:p w14:paraId="55FF668F" w14:textId="77777777" w:rsidR="003E55D9" w:rsidRPr="00333D21" w:rsidRDefault="003E55D9" w:rsidP="003E55D9">
      <w:pPr>
        <w:pStyle w:val="Standard"/>
        <w:spacing w:after="0" w:line="360" w:lineRule="auto"/>
        <w:ind w:left="709" w:hanging="709"/>
      </w:pPr>
      <w:proofErr w:type="spellStart"/>
      <w:r w:rsidRPr="00333D21">
        <w:rPr>
          <w:rFonts w:ascii="Times New Roman" w:hAnsi="Times New Roman" w:cs="Times New Roman"/>
          <w:bCs/>
          <w:sz w:val="24"/>
          <w:szCs w:val="24"/>
        </w:rPr>
        <w:t>Matud</w:t>
      </w:r>
      <w:proofErr w:type="spellEnd"/>
      <w:r w:rsidRPr="00333D21">
        <w:rPr>
          <w:rFonts w:ascii="Times New Roman" w:hAnsi="Times New Roman" w:cs="Times New Roman"/>
          <w:bCs/>
          <w:sz w:val="24"/>
          <w:szCs w:val="24"/>
        </w:rPr>
        <w:t xml:space="preserve">, M. (2004). Impacto de la violencia doméstica en la salud de la mujer maltratada. </w:t>
      </w:r>
      <w:r w:rsidRPr="00333D21">
        <w:rPr>
          <w:rFonts w:ascii="Times New Roman" w:hAnsi="Times New Roman" w:cs="Times New Roman"/>
          <w:bCs/>
          <w:i/>
          <w:sz w:val="24"/>
          <w:szCs w:val="24"/>
        </w:rPr>
        <w:t xml:space="preserve">Revista </w:t>
      </w:r>
      <w:proofErr w:type="spellStart"/>
      <w:r w:rsidRPr="00333D21">
        <w:rPr>
          <w:rFonts w:ascii="Times New Roman" w:hAnsi="Times New Roman" w:cs="Times New Roman"/>
          <w:bCs/>
          <w:i/>
          <w:sz w:val="24"/>
          <w:szCs w:val="24"/>
        </w:rPr>
        <w:t>Psicothema</w:t>
      </w:r>
      <w:proofErr w:type="spellEnd"/>
      <w:r w:rsidRPr="00333D21">
        <w:rPr>
          <w:rFonts w:ascii="Times New Roman" w:hAnsi="Times New Roman" w:cs="Times New Roman"/>
          <w:bCs/>
          <w:i/>
          <w:sz w:val="24"/>
          <w:szCs w:val="24"/>
        </w:rPr>
        <w:t>,</w:t>
      </w:r>
      <w:r w:rsidRPr="00333D21">
        <w:rPr>
          <w:rFonts w:ascii="Times New Roman" w:hAnsi="Times New Roman" w:cs="Times New Roman"/>
          <w:bCs/>
          <w:sz w:val="24"/>
          <w:szCs w:val="24"/>
        </w:rPr>
        <w:t xml:space="preserve"> </w:t>
      </w:r>
      <w:r w:rsidRPr="00333D21">
        <w:rPr>
          <w:rFonts w:ascii="Times New Roman" w:hAnsi="Times New Roman" w:cs="Times New Roman"/>
          <w:bCs/>
          <w:i/>
          <w:sz w:val="24"/>
          <w:szCs w:val="24"/>
        </w:rPr>
        <w:t>16(3).</w:t>
      </w:r>
      <w:r w:rsidRPr="00333D21">
        <w:rPr>
          <w:rFonts w:ascii="Times New Roman" w:hAnsi="Times New Roman" w:cs="Times New Roman"/>
          <w:bCs/>
          <w:sz w:val="24"/>
          <w:szCs w:val="24"/>
        </w:rPr>
        <w:t xml:space="preserve"> https://www.redalyc.org/pdf/727/72716310</w:t>
      </w:r>
    </w:p>
    <w:p w14:paraId="420E5E68"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Miranda, Z. (2018). </w:t>
      </w:r>
      <w:r w:rsidRPr="00333D21">
        <w:rPr>
          <w:rFonts w:ascii="Times New Roman" w:hAnsi="Times New Roman" w:cs="Times New Roman"/>
          <w:bCs/>
          <w:i/>
          <w:sz w:val="24"/>
          <w:szCs w:val="24"/>
        </w:rPr>
        <w:t>Funciones ejecutivas y violencia doméstica contra la mujer. Una revisión sistemática de literatura durante el período 2010-2019.</w:t>
      </w:r>
      <w:r w:rsidRPr="00333D21">
        <w:rPr>
          <w:rFonts w:ascii="Times New Roman" w:hAnsi="Times New Roman" w:cs="Times New Roman"/>
          <w:bCs/>
          <w:sz w:val="24"/>
          <w:szCs w:val="24"/>
        </w:rPr>
        <w:t xml:space="preserve"> Repositorio Institucional UCC. </w:t>
      </w:r>
      <w:hyperlink r:id="rId62" w:history="1">
        <w:r w:rsidRPr="00333D21">
          <w:rPr>
            <w:rStyle w:val="Hipervnculo"/>
            <w:rFonts w:ascii="Times New Roman" w:hAnsi="Times New Roman" w:cs="Times New Roman"/>
            <w:bCs/>
            <w:color w:val="auto"/>
            <w:sz w:val="24"/>
            <w:szCs w:val="24"/>
            <w:u w:val="none"/>
          </w:rPr>
          <w:t>http://hdl.handle.net/20.500.12494</w:t>
        </w:r>
      </w:hyperlink>
    </w:p>
    <w:p w14:paraId="3C48892F"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Montero, R. (2006). </w:t>
      </w:r>
      <w:r w:rsidRPr="00333D21">
        <w:rPr>
          <w:rFonts w:ascii="Times New Roman" w:hAnsi="Times New Roman" w:cs="Times New Roman"/>
          <w:bCs/>
          <w:i/>
          <w:sz w:val="24"/>
          <w:szCs w:val="24"/>
        </w:rPr>
        <w:t>Manual cognitivo conductual emocional dirigido a mujeres sobrevivientes de violencia doméstica.</w:t>
      </w:r>
      <w:r w:rsidRPr="00333D21">
        <w:rPr>
          <w:rFonts w:ascii="Times New Roman" w:hAnsi="Times New Roman" w:cs="Times New Roman"/>
          <w:bCs/>
          <w:sz w:val="24"/>
          <w:szCs w:val="24"/>
        </w:rPr>
        <w:t xml:space="preserve"> Universidad de Costa Rica.</w:t>
      </w:r>
    </w:p>
    <w:p w14:paraId="45C39BE7"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Morais, J. y </w:t>
      </w:r>
      <w:proofErr w:type="spellStart"/>
      <w:r w:rsidRPr="00333D21">
        <w:rPr>
          <w:rFonts w:ascii="Times New Roman" w:hAnsi="Times New Roman" w:cs="Times New Roman"/>
          <w:bCs/>
          <w:sz w:val="24"/>
          <w:szCs w:val="24"/>
        </w:rPr>
        <w:t>Kolinsky</w:t>
      </w:r>
      <w:proofErr w:type="spellEnd"/>
      <w:r w:rsidRPr="00333D21">
        <w:rPr>
          <w:rFonts w:ascii="Times New Roman" w:hAnsi="Times New Roman" w:cs="Times New Roman"/>
          <w:bCs/>
          <w:sz w:val="24"/>
          <w:szCs w:val="24"/>
        </w:rPr>
        <w:t xml:space="preserve">, R. (1996). Limitaciones cognitivas del aprendizaje permanente. </w:t>
      </w:r>
      <w:r w:rsidRPr="00333D21">
        <w:rPr>
          <w:rFonts w:ascii="Times New Roman" w:hAnsi="Times New Roman" w:cs="Times New Roman"/>
          <w:bCs/>
          <w:i/>
          <w:sz w:val="24"/>
          <w:szCs w:val="24"/>
        </w:rPr>
        <w:t>Revista Europea Formación Profesional,</w:t>
      </w:r>
      <w:r w:rsidRPr="00333D21">
        <w:rPr>
          <w:rFonts w:ascii="Times New Roman" w:hAnsi="Times New Roman" w:cs="Times New Roman"/>
          <w:bCs/>
          <w:sz w:val="24"/>
          <w:szCs w:val="24"/>
        </w:rPr>
        <w:t xml:space="preserve"> </w:t>
      </w:r>
      <w:r w:rsidRPr="00333D21">
        <w:rPr>
          <w:rFonts w:ascii="Times New Roman" w:hAnsi="Times New Roman" w:cs="Times New Roman"/>
          <w:bCs/>
          <w:i/>
          <w:sz w:val="24"/>
          <w:szCs w:val="24"/>
        </w:rPr>
        <w:t>8(9).</w:t>
      </w:r>
      <w:r w:rsidRPr="00333D21">
        <w:rPr>
          <w:rFonts w:ascii="Times New Roman" w:hAnsi="Times New Roman" w:cs="Times New Roman"/>
          <w:bCs/>
          <w:sz w:val="24"/>
          <w:szCs w:val="24"/>
        </w:rPr>
        <w:t xml:space="preserve"> dewww.cedefop.europa.eu/files/etv/Upload/Information_resources/Bookshop/130/8-9_es_morais</w:t>
      </w:r>
    </w:p>
    <w:p w14:paraId="7C40BFDC" w14:textId="71CF7134"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Observatorio de la Imagen de las Mujeres en la Publicidad. (</w:t>
      </w:r>
      <w:proofErr w:type="gramStart"/>
      <w:r w:rsidRPr="00333D21">
        <w:rPr>
          <w:rFonts w:ascii="Times New Roman" w:hAnsi="Times New Roman" w:cs="Times New Roman"/>
          <w:bCs/>
          <w:sz w:val="24"/>
          <w:szCs w:val="24"/>
        </w:rPr>
        <w:t>Diciembre</w:t>
      </w:r>
      <w:proofErr w:type="gramEnd"/>
      <w:r w:rsidRPr="00333D21">
        <w:rPr>
          <w:rFonts w:ascii="Times New Roman" w:hAnsi="Times New Roman" w:cs="Times New Roman"/>
          <w:bCs/>
          <w:sz w:val="24"/>
          <w:szCs w:val="24"/>
        </w:rPr>
        <w:t xml:space="preserve">, 2020). </w:t>
      </w:r>
      <w:r w:rsidRPr="00333D21">
        <w:rPr>
          <w:rFonts w:ascii="Times New Roman" w:hAnsi="Times New Roman" w:cs="Times New Roman"/>
          <w:bCs/>
          <w:i/>
          <w:sz w:val="24"/>
          <w:szCs w:val="24"/>
        </w:rPr>
        <w:t xml:space="preserve">Derechos de la mujer: instrumentos jurídicos internacionales. </w:t>
      </w:r>
      <w:r w:rsidRPr="00333D21">
        <w:rPr>
          <w:rFonts w:ascii="Times New Roman" w:hAnsi="Times New Roman" w:cs="Times New Roman"/>
          <w:bCs/>
          <w:sz w:val="24"/>
          <w:szCs w:val="24"/>
        </w:rPr>
        <w:t>Centro de Investigación en Estudios de la Mujer. Universidad de Costa Rica.</w:t>
      </w:r>
      <w:r w:rsidR="002179A8">
        <w:rPr>
          <w:rFonts w:ascii="Times New Roman" w:hAnsi="Times New Roman" w:cs="Times New Roman"/>
          <w:bCs/>
          <w:sz w:val="24"/>
          <w:szCs w:val="24"/>
        </w:rPr>
        <w:t xml:space="preserve"> </w:t>
      </w:r>
      <w:r w:rsidRPr="00333D21">
        <w:rPr>
          <w:rFonts w:ascii="Times New Roman" w:hAnsi="Times New Roman" w:cs="Times New Roman"/>
          <w:bCs/>
          <w:sz w:val="24"/>
          <w:szCs w:val="24"/>
        </w:rPr>
        <w:t xml:space="preserve">Observatorio Judicial. (2008). Política Integral para Combatir la Violencia Doméstica. </w:t>
      </w:r>
      <w:hyperlink r:id="rId63" w:history="1">
        <w:r w:rsidRPr="00333D21">
          <w:rPr>
            <w:rStyle w:val="Hipervnculo"/>
            <w:rFonts w:ascii="Times New Roman" w:hAnsi="Times New Roman" w:cs="Times New Roman"/>
            <w:bCs/>
            <w:color w:val="auto"/>
            <w:sz w:val="24"/>
            <w:szCs w:val="24"/>
            <w:u w:val="none"/>
          </w:rPr>
          <w:t>https://www.poder-judicial.go.cr/observatoriojudicial/vol74/</w:t>
        </w:r>
      </w:hyperlink>
    </w:p>
    <w:p w14:paraId="5B0D5E0C" w14:textId="77777777" w:rsidR="003E55D9" w:rsidRPr="00333D21" w:rsidRDefault="003E55D9" w:rsidP="003E55D9">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lang w:val="es-SV"/>
        </w:rPr>
        <w:t xml:space="preserve">Oficina de Cooperación y Relaciones Internacionales. (2012). </w:t>
      </w:r>
      <w:r w:rsidRPr="00333D21">
        <w:rPr>
          <w:rFonts w:ascii="Times New Roman" w:hAnsi="Times New Roman" w:cs="Times New Roman"/>
          <w:bCs/>
          <w:i/>
          <w:sz w:val="24"/>
          <w:szCs w:val="24"/>
          <w:lang w:val="es-SV"/>
        </w:rPr>
        <w:t>Políticas Institucionales de acceso a la justica.</w:t>
      </w:r>
      <w:r w:rsidRPr="00333D21">
        <w:rPr>
          <w:rFonts w:ascii="Times New Roman" w:hAnsi="Times New Roman" w:cs="Times New Roman"/>
          <w:bCs/>
          <w:sz w:val="24"/>
          <w:szCs w:val="24"/>
          <w:lang w:val="es-SV"/>
        </w:rPr>
        <w:t xml:space="preserve"> Rojas, C. (</w:t>
      </w:r>
      <w:proofErr w:type="spellStart"/>
      <w:r w:rsidRPr="00333D21">
        <w:rPr>
          <w:rFonts w:ascii="Times New Roman" w:hAnsi="Times New Roman" w:cs="Times New Roman"/>
          <w:bCs/>
          <w:sz w:val="24"/>
          <w:szCs w:val="24"/>
          <w:lang w:val="es-SV"/>
        </w:rPr>
        <w:t>comp.</w:t>
      </w:r>
      <w:proofErr w:type="spellEnd"/>
      <w:r w:rsidRPr="00333D21">
        <w:rPr>
          <w:rFonts w:ascii="Times New Roman" w:hAnsi="Times New Roman" w:cs="Times New Roman"/>
          <w:bCs/>
          <w:sz w:val="24"/>
          <w:szCs w:val="24"/>
          <w:lang w:val="es-SV"/>
        </w:rPr>
        <w:t xml:space="preserve">). Escuela Judicial. </w:t>
      </w:r>
      <w:hyperlink r:id="rId64" w:history="1">
        <w:r w:rsidRPr="00333D21">
          <w:rPr>
            <w:rStyle w:val="Hipervnculo"/>
            <w:rFonts w:ascii="Times New Roman" w:hAnsi="Times New Roman" w:cs="Times New Roman"/>
            <w:bCs/>
            <w:color w:val="auto"/>
            <w:sz w:val="24"/>
            <w:szCs w:val="24"/>
            <w:u w:val="none"/>
          </w:rPr>
          <w:t>https://observatoriodegenero.poder-judicial.go.cr/wp-content/uploads/2018/02/politicas-institucionales.pdf</w:t>
        </w:r>
      </w:hyperlink>
    </w:p>
    <w:p w14:paraId="2ADDC768" w14:textId="77777777" w:rsidR="003E55D9" w:rsidRPr="00333D21" w:rsidRDefault="003E55D9" w:rsidP="003E55D9">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Organización de los Estados Americanos (OEA). (</w:t>
      </w:r>
      <w:proofErr w:type="gramStart"/>
      <w:r w:rsidRPr="00333D21">
        <w:rPr>
          <w:rFonts w:ascii="Times New Roman" w:hAnsi="Times New Roman" w:cs="Times New Roman"/>
          <w:bCs/>
          <w:sz w:val="24"/>
          <w:szCs w:val="24"/>
        </w:rPr>
        <w:t>Diciembre</w:t>
      </w:r>
      <w:proofErr w:type="gramEnd"/>
      <w:r w:rsidRPr="00333D21">
        <w:rPr>
          <w:rFonts w:ascii="Times New Roman" w:hAnsi="Times New Roman" w:cs="Times New Roman"/>
          <w:bCs/>
          <w:sz w:val="24"/>
          <w:szCs w:val="24"/>
        </w:rPr>
        <w:t xml:space="preserve">, 2020). </w:t>
      </w:r>
      <w:r w:rsidRPr="00333D21">
        <w:rPr>
          <w:rFonts w:ascii="Times New Roman" w:hAnsi="Times New Roman" w:cs="Times New Roman"/>
          <w:bCs/>
          <w:i/>
          <w:sz w:val="24"/>
          <w:szCs w:val="24"/>
        </w:rPr>
        <w:t>Convención de Belém do Pará</w:t>
      </w:r>
      <w:r w:rsidRPr="00333D21">
        <w:rPr>
          <w:rFonts w:ascii="Times New Roman" w:hAnsi="Times New Roman" w:cs="Times New Roman"/>
          <w:bCs/>
          <w:sz w:val="24"/>
          <w:szCs w:val="24"/>
        </w:rPr>
        <w:t>. https://www.oas.org/es/mesecvi/convencion.asp</w:t>
      </w:r>
    </w:p>
    <w:p w14:paraId="19379A7B" w14:textId="77777777" w:rsidR="003E55D9" w:rsidRPr="00333D21" w:rsidRDefault="003E55D9" w:rsidP="003E55D9">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 xml:space="preserve">Organización de las Naciones Unidas </w:t>
      </w:r>
      <w:r w:rsidRPr="00333D21">
        <w:rPr>
          <w:rFonts w:ascii="Times New Roman" w:hAnsi="Times New Roman" w:cs="Times New Roman"/>
          <w:sz w:val="24"/>
        </w:rPr>
        <w:t>(ONU)</w:t>
      </w:r>
      <w:r w:rsidRPr="00333D21">
        <w:rPr>
          <w:rFonts w:ascii="Times New Roman" w:hAnsi="Times New Roman" w:cs="Times New Roman"/>
          <w:bCs/>
          <w:sz w:val="24"/>
          <w:szCs w:val="24"/>
        </w:rPr>
        <w:t xml:space="preserve">. (2011). </w:t>
      </w:r>
      <w:r w:rsidRPr="00333D21">
        <w:rPr>
          <w:rFonts w:ascii="Times New Roman" w:hAnsi="Times New Roman" w:cs="Times New Roman"/>
          <w:bCs/>
          <w:i/>
          <w:sz w:val="24"/>
          <w:szCs w:val="24"/>
        </w:rPr>
        <w:t xml:space="preserve">Suplemento del manual de legislación sobre la violencia contra la mujer. </w:t>
      </w:r>
      <w:r w:rsidRPr="00333D21">
        <w:rPr>
          <w:rFonts w:ascii="Times New Roman" w:hAnsi="Times New Roman" w:cs="Times New Roman"/>
          <w:bCs/>
          <w:sz w:val="24"/>
          <w:szCs w:val="24"/>
        </w:rPr>
        <w:t xml:space="preserve">Departamento de Asuntos Económicos y Sociales. División para el Adelanto de la Mujer. </w:t>
      </w:r>
      <w:hyperlink r:id="rId65" w:history="1">
        <w:r w:rsidRPr="00333D21">
          <w:rPr>
            <w:rStyle w:val="Hipervnculo"/>
            <w:rFonts w:ascii="Times New Roman" w:hAnsi="Times New Roman" w:cs="Times New Roman"/>
            <w:bCs/>
            <w:color w:val="auto"/>
            <w:sz w:val="24"/>
            <w:szCs w:val="24"/>
            <w:u w:val="none"/>
          </w:rPr>
          <w:t>https://www.un.org/womenwatch/daw/vaw/handbook/Supplement-to-Handbook-Spanish.pdf</w:t>
        </w:r>
      </w:hyperlink>
    </w:p>
    <w:p w14:paraId="052E0EEB" w14:textId="77777777" w:rsidR="003E55D9" w:rsidRPr="00333D21" w:rsidRDefault="003E55D9" w:rsidP="003E55D9">
      <w:pPr>
        <w:pStyle w:val="Standard"/>
        <w:spacing w:after="0" w:line="360" w:lineRule="auto"/>
        <w:ind w:left="709" w:hanging="709"/>
        <w:jc w:val="both"/>
        <w:rPr>
          <w:rFonts w:ascii="Times New Roman" w:hAnsi="Times New Roman"/>
          <w:bCs/>
          <w:sz w:val="24"/>
          <w:szCs w:val="24"/>
        </w:rPr>
      </w:pPr>
      <w:bookmarkStart w:id="405" w:name="_Toc45205390"/>
      <w:r w:rsidRPr="00333D21">
        <w:rPr>
          <w:rFonts w:ascii="Times New Roman" w:hAnsi="Times New Roman" w:cs="Times New Roman"/>
          <w:bCs/>
          <w:sz w:val="24"/>
          <w:szCs w:val="24"/>
        </w:rPr>
        <w:lastRenderedPageBreak/>
        <w:t xml:space="preserve">Organización de las Naciones Unidas. (2020). </w:t>
      </w:r>
      <w:r w:rsidRPr="00333D21">
        <w:rPr>
          <w:rFonts w:ascii="Times New Roman" w:hAnsi="Times New Roman" w:cs="Times New Roman"/>
          <w:bCs/>
          <w:i/>
          <w:sz w:val="24"/>
          <w:szCs w:val="24"/>
        </w:rPr>
        <w:t>Declaración de Viena y Programa de Acción: Adoptada por la Conferencia Mundial de Derechos Humanos en Viena el 25 de junio de 1993</w:t>
      </w:r>
      <w:r w:rsidRPr="00333D21">
        <w:rPr>
          <w:rFonts w:ascii="Times New Roman" w:hAnsi="Times New Roman" w:cs="Times New Roman"/>
          <w:bCs/>
          <w:sz w:val="24"/>
          <w:szCs w:val="24"/>
        </w:rPr>
        <w:t xml:space="preserve">. </w:t>
      </w:r>
      <w:hyperlink r:id="rId66" w:history="1">
        <w:r w:rsidRPr="00333D21">
          <w:rPr>
            <w:rStyle w:val="Hipervnculo"/>
            <w:rFonts w:ascii="Times New Roman" w:hAnsi="Times New Roman"/>
            <w:bCs/>
            <w:color w:val="auto"/>
            <w:sz w:val="24"/>
            <w:szCs w:val="24"/>
            <w:u w:val="none"/>
          </w:rPr>
          <w:t>https://www.ohchr.org/EN/ProfessionalInterest/Pages/Vienna.aspx</w:t>
        </w:r>
      </w:hyperlink>
      <w:bookmarkEnd w:id="405"/>
    </w:p>
    <w:p w14:paraId="52FF039E" w14:textId="77777777" w:rsidR="003E55D9" w:rsidRPr="00333D21" w:rsidRDefault="003E55D9" w:rsidP="003E55D9">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 xml:space="preserve">Organización de las Naciones Unidas </w:t>
      </w:r>
      <w:r w:rsidRPr="00333D21">
        <w:rPr>
          <w:rFonts w:ascii="Times New Roman" w:hAnsi="Times New Roman" w:cs="Times New Roman"/>
          <w:sz w:val="24"/>
        </w:rPr>
        <w:t>(ONU)</w:t>
      </w:r>
      <w:r w:rsidRPr="00333D21">
        <w:rPr>
          <w:rFonts w:ascii="Times New Roman" w:hAnsi="Times New Roman" w:cs="Times New Roman"/>
          <w:bCs/>
          <w:sz w:val="24"/>
          <w:szCs w:val="24"/>
        </w:rPr>
        <w:t>. (</w:t>
      </w:r>
      <w:proofErr w:type="gramStart"/>
      <w:r w:rsidRPr="00333D21">
        <w:rPr>
          <w:rFonts w:ascii="Times New Roman" w:hAnsi="Times New Roman" w:cs="Times New Roman"/>
          <w:bCs/>
          <w:sz w:val="24"/>
          <w:szCs w:val="24"/>
        </w:rPr>
        <w:t>Diciembre</w:t>
      </w:r>
      <w:proofErr w:type="gramEnd"/>
      <w:r w:rsidRPr="00333D21">
        <w:rPr>
          <w:rFonts w:ascii="Times New Roman" w:hAnsi="Times New Roman" w:cs="Times New Roman"/>
          <w:bCs/>
          <w:sz w:val="24"/>
          <w:szCs w:val="24"/>
        </w:rPr>
        <w:t xml:space="preserve">, 2020). </w:t>
      </w:r>
      <w:r w:rsidRPr="00333D21">
        <w:rPr>
          <w:rFonts w:ascii="Times New Roman" w:hAnsi="Times New Roman" w:cs="Times New Roman"/>
          <w:bCs/>
          <w:i/>
          <w:sz w:val="24"/>
          <w:szCs w:val="24"/>
        </w:rPr>
        <w:t>Cronología: Mujeres del mundo, ¡únase!</w:t>
      </w:r>
      <w:r w:rsidRPr="00333D21">
        <w:rPr>
          <w:rFonts w:ascii="Times New Roman" w:hAnsi="Times New Roman" w:cs="Times New Roman"/>
          <w:bCs/>
          <w:sz w:val="24"/>
          <w:szCs w:val="24"/>
        </w:rPr>
        <w:t xml:space="preserve"> ONU Mujeres. https://interactive.unwomen.org/multimedia/timeline/womenunite/es/index.html#/1840</w:t>
      </w:r>
    </w:p>
    <w:p w14:paraId="1C3AB1B9" w14:textId="77777777" w:rsidR="003E55D9" w:rsidRPr="00333D21" w:rsidRDefault="003E55D9" w:rsidP="003E55D9">
      <w:pPr>
        <w:pStyle w:val="Standard"/>
        <w:spacing w:after="0" w:line="360" w:lineRule="auto"/>
        <w:ind w:left="709" w:hanging="709"/>
        <w:jc w:val="both"/>
        <w:rPr>
          <w:rFonts w:ascii="Times New Roman" w:hAnsi="Times New Roman" w:cs="Times New Roman"/>
          <w:sz w:val="24"/>
        </w:rPr>
      </w:pPr>
      <w:r w:rsidRPr="00333D21">
        <w:rPr>
          <w:rFonts w:ascii="Times New Roman" w:hAnsi="Times New Roman" w:cs="Times New Roman"/>
          <w:sz w:val="24"/>
        </w:rPr>
        <w:t>Organización de las Naciones Unidas (ONU). (</w:t>
      </w:r>
      <w:proofErr w:type="gramStart"/>
      <w:r w:rsidRPr="00333D21">
        <w:rPr>
          <w:rFonts w:ascii="Times New Roman" w:hAnsi="Times New Roman" w:cs="Times New Roman"/>
          <w:sz w:val="24"/>
        </w:rPr>
        <w:t>Diciembre</w:t>
      </w:r>
      <w:proofErr w:type="gramEnd"/>
      <w:r w:rsidRPr="00333D21">
        <w:rPr>
          <w:rFonts w:ascii="Times New Roman" w:hAnsi="Times New Roman" w:cs="Times New Roman"/>
          <w:sz w:val="24"/>
        </w:rPr>
        <w:t xml:space="preserve">, 2020). </w:t>
      </w:r>
      <w:r w:rsidRPr="00333D21">
        <w:rPr>
          <w:rFonts w:ascii="Times New Roman" w:hAnsi="Times New Roman" w:cs="Times New Roman"/>
          <w:i/>
          <w:sz w:val="24"/>
        </w:rPr>
        <w:t>Un poco de historia</w:t>
      </w:r>
      <w:r w:rsidRPr="00333D21">
        <w:rPr>
          <w:rFonts w:ascii="Times New Roman" w:hAnsi="Times New Roman" w:cs="Times New Roman"/>
          <w:sz w:val="24"/>
        </w:rPr>
        <w:t>. Comisión de la Condición de la Mujer. ONU Mujer. https://www.unwomen.org/es/csw/brief-history</w:t>
      </w:r>
    </w:p>
    <w:p w14:paraId="12C0BA36" w14:textId="77777777" w:rsidR="003E55D9" w:rsidRPr="00333D21" w:rsidRDefault="003E55D9" w:rsidP="003E55D9">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 xml:space="preserve">Ortiz, A. (2009). </w:t>
      </w:r>
      <w:r w:rsidRPr="00333D21">
        <w:rPr>
          <w:rFonts w:ascii="Times New Roman" w:hAnsi="Times New Roman" w:cs="Times New Roman"/>
          <w:bCs/>
          <w:i/>
          <w:sz w:val="24"/>
          <w:szCs w:val="24"/>
        </w:rPr>
        <w:t>Aprendizaje y comportamiento basados en el funcionamiento del cerebro humano.</w:t>
      </w:r>
      <w:r w:rsidRPr="00333D21">
        <w:rPr>
          <w:rFonts w:ascii="Times New Roman" w:hAnsi="Times New Roman" w:cs="Times New Roman"/>
          <w:bCs/>
          <w:sz w:val="24"/>
          <w:szCs w:val="24"/>
        </w:rPr>
        <w:t xml:space="preserve"> Ediciones Litoral. </w:t>
      </w:r>
      <w:hyperlink r:id="rId67" w:history="1">
        <w:r w:rsidRPr="00333D21">
          <w:rPr>
            <w:rStyle w:val="Hipervnculo"/>
            <w:rFonts w:ascii="Times New Roman" w:hAnsi="Times New Roman" w:cs="Times New Roman"/>
            <w:bCs/>
            <w:color w:val="auto"/>
            <w:sz w:val="24"/>
            <w:szCs w:val="24"/>
            <w:u w:val="none"/>
          </w:rPr>
          <w:t>https://books.google.co.cr/books</w:t>
        </w:r>
      </w:hyperlink>
    </w:p>
    <w:p w14:paraId="06B45F58" w14:textId="77777777" w:rsidR="003E55D9" w:rsidRPr="00333D21" w:rsidRDefault="003E55D9" w:rsidP="003E55D9">
      <w:pPr>
        <w:pStyle w:val="Standard"/>
        <w:spacing w:after="0" w:line="360" w:lineRule="auto"/>
        <w:ind w:left="709" w:hanging="709"/>
        <w:rPr>
          <w:rFonts w:ascii="Times New Roman" w:hAnsi="Times New Roman" w:cs="Times New Roman"/>
          <w:bCs/>
          <w:sz w:val="24"/>
          <w:szCs w:val="24"/>
          <w:lang w:val="es-SV"/>
        </w:rPr>
      </w:pPr>
      <w:r w:rsidRPr="00333D21">
        <w:rPr>
          <w:rFonts w:ascii="Times New Roman" w:hAnsi="Times New Roman" w:cs="Times New Roman"/>
          <w:bCs/>
          <w:sz w:val="24"/>
          <w:szCs w:val="24"/>
          <w:lang w:val="es-SV"/>
        </w:rPr>
        <w:t xml:space="preserve">Paz, P. y Labrador, F. (2004). Efectos psicopatológicos del maltrato doméstico. </w:t>
      </w:r>
      <w:r w:rsidRPr="00333D21">
        <w:rPr>
          <w:rFonts w:ascii="Times New Roman" w:hAnsi="Times New Roman" w:cs="Times New Roman"/>
          <w:bCs/>
          <w:i/>
          <w:sz w:val="24"/>
          <w:szCs w:val="24"/>
          <w:lang w:val="es-SV"/>
        </w:rPr>
        <w:t>Revista Avances en Psicología Latinoamericana</w:t>
      </w:r>
      <w:r w:rsidRPr="00333D21">
        <w:rPr>
          <w:rFonts w:ascii="Times New Roman" w:hAnsi="Times New Roman" w:cs="Times New Roman"/>
          <w:bCs/>
          <w:sz w:val="24"/>
          <w:szCs w:val="24"/>
          <w:lang w:val="es-SV"/>
        </w:rPr>
        <w:t>, 22. dehttps://www.redalyc.org/pdf/799/79902210</w:t>
      </w:r>
    </w:p>
    <w:p w14:paraId="50BA6F83"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Poder Judicial. (1996). </w:t>
      </w:r>
      <w:r w:rsidRPr="00333D21">
        <w:rPr>
          <w:rFonts w:ascii="Times New Roman" w:hAnsi="Times New Roman" w:cs="Times New Roman"/>
          <w:bCs/>
          <w:i/>
          <w:sz w:val="24"/>
          <w:szCs w:val="24"/>
        </w:rPr>
        <w:t xml:space="preserve">Ley Contra la Violencia Doméstica. </w:t>
      </w:r>
      <w:hyperlink r:id="rId68" w:history="1">
        <w:r w:rsidRPr="00333D21">
          <w:rPr>
            <w:rStyle w:val="Hipervnculo"/>
            <w:rFonts w:ascii="Times New Roman" w:hAnsi="Times New Roman" w:cs="Times New Roman"/>
            <w:bCs/>
            <w:color w:val="auto"/>
            <w:sz w:val="24"/>
            <w:szCs w:val="24"/>
            <w:u w:val="none"/>
          </w:rPr>
          <w:t xml:space="preserve">https://observatoriodegenero.poder-judicial.go.cr/ </w:t>
        </w:r>
        <w:proofErr w:type="spellStart"/>
        <w:r w:rsidRPr="00333D21">
          <w:rPr>
            <w:rStyle w:val="Hipervnculo"/>
            <w:rFonts w:ascii="Times New Roman" w:hAnsi="Times New Roman" w:cs="Times New Roman"/>
            <w:bCs/>
            <w:color w:val="auto"/>
            <w:sz w:val="24"/>
            <w:szCs w:val="24"/>
            <w:u w:val="none"/>
          </w:rPr>
          <w:t>pdf</w:t>
        </w:r>
        <w:proofErr w:type="spellEnd"/>
      </w:hyperlink>
    </w:p>
    <w:p w14:paraId="1B54C571" w14:textId="77777777" w:rsidR="003E55D9" w:rsidRPr="00333D21" w:rsidRDefault="003E55D9" w:rsidP="003E55D9">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 xml:space="preserve">Poder Judicial (2001). </w:t>
      </w:r>
      <w:r w:rsidRPr="00333D21">
        <w:rPr>
          <w:rFonts w:ascii="Times New Roman" w:hAnsi="Times New Roman" w:cs="Times New Roman"/>
          <w:bCs/>
          <w:i/>
          <w:sz w:val="24"/>
          <w:szCs w:val="24"/>
        </w:rPr>
        <w:t>Acta de Corte Plena Acta N.°12 del 2 de abril 2001, art. VII</w:t>
      </w:r>
      <w:r w:rsidRPr="00333D21">
        <w:rPr>
          <w:rFonts w:ascii="Times New Roman" w:hAnsi="Times New Roman" w:cs="Times New Roman"/>
          <w:bCs/>
          <w:sz w:val="24"/>
          <w:szCs w:val="24"/>
        </w:rPr>
        <w:t xml:space="preserve">. </w:t>
      </w:r>
      <w:hyperlink r:id="rId69" w:history="1">
        <w:r w:rsidRPr="00333D21">
          <w:rPr>
            <w:rStyle w:val="Hipervnculo"/>
            <w:rFonts w:ascii="Times New Roman" w:hAnsi="Times New Roman" w:cs="Times New Roman"/>
            <w:bCs/>
            <w:color w:val="auto"/>
            <w:sz w:val="24"/>
            <w:szCs w:val="24"/>
            <w:u w:val="none"/>
          </w:rPr>
          <w:t>https://nexuspj.poder-judicial.go.cr/document/act-1-0003-754-0/acta</w:t>
        </w:r>
      </w:hyperlink>
    </w:p>
    <w:p w14:paraId="1E273327"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 xml:space="preserve">Poder Judicial. (2013). </w:t>
      </w:r>
      <w:r w:rsidRPr="00333D21">
        <w:rPr>
          <w:rFonts w:ascii="Times New Roman" w:hAnsi="Times New Roman" w:cs="Times New Roman"/>
          <w:bCs/>
          <w:i/>
          <w:sz w:val="24"/>
          <w:szCs w:val="24"/>
        </w:rPr>
        <w:t>Política de Igualdad de Género Aprobada por Corte Plena en sesión N.º 34-05, del 07 de noviembre del 2005, art. X1V. Modificado el término equidad por igualdad, por Corte Plena, sesión N.º 38-13 del 09 de setiembre del 2013, art. XIV</w:t>
      </w:r>
      <w:r w:rsidRPr="00333D21">
        <w:t xml:space="preserve"> </w:t>
      </w:r>
      <w:hyperlink r:id="rId70" w:history="1">
        <w:r w:rsidRPr="00333D21">
          <w:rPr>
            <w:rStyle w:val="Hipervnculo"/>
            <w:rFonts w:ascii="Times New Roman" w:hAnsi="Times New Roman" w:cs="Times New Roman"/>
            <w:bCs/>
            <w:color w:val="auto"/>
            <w:sz w:val="24"/>
            <w:szCs w:val="24"/>
            <w:u w:val="none"/>
          </w:rPr>
          <w:t>https://secretariagenero.poder-judicial.go.cr/images/Documentos/PoliticaDeIgualdadDeGnero/Politica-de-Igualdad-de-Genero-del-Poder-Judicial.pdf</w:t>
        </w:r>
      </w:hyperlink>
    </w:p>
    <w:p w14:paraId="60E2345C" w14:textId="77777777" w:rsidR="003E55D9" w:rsidRPr="00333D21" w:rsidRDefault="003E55D9" w:rsidP="003E55D9">
      <w:pPr>
        <w:pStyle w:val="Standard"/>
        <w:spacing w:after="0" w:line="360" w:lineRule="auto"/>
        <w:ind w:left="709" w:hanging="709"/>
        <w:jc w:val="both"/>
        <w:rPr>
          <w:rFonts w:ascii="Times New Roman" w:hAnsi="Times New Roman" w:cs="Times New Roman"/>
          <w:sz w:val="24"/>
        </w:rPr>
      </w:pPr>
      <w:r w:rsidRPr="00333D21">
        <w:rPr>
          <w:rFonts w:ascii="Times New Roman" w:hAnsi="Times New Roman" w:cs="Times New Roman"/>
          <w:sz w:val="24"/>
        </w:rPr>
        <w:t xml:space="preserve">Poder Judicial (2020). </w:t>
      </w:r>
      <w:r w:rsidRPr="00333D21">
        <w:rPr>
          <w:rFonts w:ascii="Times New Roman" w:hAnsi="Times New Roman" w:cs="Times New Roman"/>
          <w:i/>
          <w:sz w:val="24"/>
        </w:rPr>
        <w:t>Historia.</w:t>
      </w:r>
      <w:r w:rsidRPr="00333D21">
        <w:rPr>
          <w:rFonts w:ascii="Times New Roman" w:hAnsi="Times New Roman" w:cs="Times New Roman"/>
          <w:sz w:val="24"/>
        </w:rPr>
        <w:t xml:space="preserve"> Comisión Permanente para el Seguimiento de la Atención y Prevención de la Violencia Intrafamiliar. https://accesoalajusticia.poder-judicial.go.cr/index.php/informacion-general-violencia-intrafamiliar/historia-violencia-intrafamiliar</w:t>
      </w:r>
    </w:p>
    <w:p w14:paraId="60FF9B6A" w14:textId="77777777" w:rsidR="003E55D9" w:rsidRPr="00333D21" w:rsidRDefault="003E55D9" w:rsidP="003E55D9">
      <w:pPr>
        <w:pStyle w:val="Textbody"/>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lastRenderedPageBreak/>
        <w:t xml:space="preserve">Ramírez, P. (2011). </w:t>
      </w:r>
      <w:r w:rsidRPr="00333D21">
        <w:rPr>
          <w:rFonts w:ascii="Times New Roman" w:hAnsi="Times New Roman" w:cs="Times New Roman"/>
          <w:bCs/>
          <w:i/>
          <w:sz w:val="24"/>
          <w:szCs w:val="24"/>
        </w:rPr>
        <w:t xml:space="preserve">Factores de vulnerabilidad cognitivos en mujeres víctimas de violencia doméstica. </w:t>
      </w:r>
      <w:r w:rsidRPr="00333D21">
        <w:rPr>
          <w:rFonts w:ascii="Times New Roman" w:hAnsi="Times New Roman" w:cs="Times New Roman"/>
          <w:bCs/>
          <w:sz w:val="24"/>
          <w:szCs w:val="24"/>
        </w:rPr>
        <w:t>(Tesis de grado para la obtención de Licenciatura en Psicología) Universidad De San Buena Aventura, Colombia http://hdl.handle.net/10819/311</w:t>
      </w:r>
    </w:p>
    <w:p w14:paraId="48FA2439" w14:textId="77777777" w:rsidR="003E55D9" w:rsidRPr="00333D21" w:rsidRDefault="003E55D9" w:rsidP="003E55D9">
      <w:pPr>
        <w:pStyle w:val="Textbody"/>
        <w:spacing w:after="0" w:line="360" w:lineRule="auto"/>
        <w:ind w:left="709" w:hanging="709"/>
        <w:rPr>
          <w:rFonts w:ascii="Times New Roman" w:hAnsi="Times New Roman" w:cs="Times New Roman"/>
          <w:bCs/>
          <w:sz w:val="24"/>
          <w:szCs w:val="24"/>
        </w:rPr>
      </w:pPr>
      <w:r w:rsidRPr="00333D21">
        <w:rPr>
          <w:rFonts w:ascii="Times New Roman" w:hAnsi="Times New Roman" w:cs="Times New Roman"/>
          <w:bCs/>
          <w:sz w:val="24"/>
          <w:szCs w:val="24"/>
        </w:rPr>
        <w:t xml:space="preserve">Rico, N. (1996). </w:t>
      </w:r>
      <w:r w:rsidRPr="00333D21">
        <w:rPr>
          <w:rFonts w:ascii="Times New Roman" w:hAnsi="Times New Roman" w:cs="Times New Roman"/>
          <w:bCs/>
          <w:i/>
          <w:sz w:val="24"/>
          <w:szCs w:val="24"/>
        </w:rPr>
        <w:t xml:space="preserve">Violencia de género: un problema de derechos humanos. </w:t>
      </w:r>
      <w:r w:rsidRPr="00333D21">
        <w:rPr>
          <w:rFonts w:ascii="Times New Roman" w:hAnsi="Times New Roman" w:cs="Times New Roman"/>
          <w:bCs/>
          <w:sz w:val="24"/>
          <w:szCs w:val="24"/>
        </w:rPr>
        <w:t xml:space="preserve">Serie Mujer y Desarrollo. </w:t>
      </w:r>
      <w:hyperlink r:id="rId71" w:history="1">
        <w:r w:rsidRPr="00333D21">
          <w:rPr>
            <w:rStyle w:val="Hipervnculo"/>
            <w:rFonts w:ascii="Times New Roman" w:hAnsi="Times New Roman" w:cs="Times New Roman"/>
            <w:bCs/>
            <w:color w:val="auto"/>
            <w:sz w:val="24"/>
            <w:szCs w:val="24"/>
            <w:u w:val="none"/>
          </w:rPr>
          <w:t>https://repositorio.cepal.org/bitstream/handle/11362/5855/S9600674_es.pdf</w:t>
        </w:r>
      </w:hyperlink>
    </w:p>
    <w:p w14:paraId="3F4C7C11" w14:textId="77777777" w:rsidR="003E55D9" w:rsidRPr="00333D21" w:rsidRDefault="003E55D9" w:rsidP="003E55D9">
      <w:pPr>
        <w:pStyle w:val="Standard"/>
        <w:spacing w:after="0" w:line="360" w:lineRule="auto"/>
        <w:ind w:left="709" w:hanging="709"/>
        <w:jc w:val="both"/>
      </w:pPr>
      <w:r w:rsidRPr="00333D21">
        <w:rPr>
          <w:rStyle w:val="nfasis"/>
          <w:bCs/>
          <w:sz w:val="24"/>
          <w:szCs w:val="24"/>
        </w:rPr>
        <w:t xml:space="preserve">Sistema Costarricense de Información Jurídica. </w:t>
      </w:r>
      <w:r w:rsidRPr="00333D21">
        <w:rPr>
          <w:rFonts w:ascii="Times New Roman" w:hAnsi="Times New Roman" w:cs="Times New Roman"/>
          <w:bCs/>
          <w:sz w:val="24"/>
          <w:szCs w:val="24"/>
        </w:rPr>
        <w:t xml:space="preserve">(SCIJ). </w:t>
      </w:r>
      <w:r w:rsidRPr="00333D21">
        <w:rPr>
          <w:rStyle w:val="nfasis"/>
          <w:rFonts w:ascii="Times New Roman" w:hAnsi="Times New Roman" w:cs="Times New Roman"/>
          <w:bCs/>
          <w:sz w:val="24"/>
          <w:szCs w:val="24"/>
        </w:rPr>
        <w:t>(</w:t>
      </w:r>
      <w:proofErr w:type="gramStart"/>
      <w:r w:rsidRPr="00333D21">
        <w:rPr>
          <w:rStyle w:val="nfasis"/>
          <w:rFonts w:ascii="Times New Roman" w:hAnsi="Times New Roman" w:cs="Times New Roman"/>
          <w:bCs/>
          <w:sz w:val="24"/>
          <w:szCs w:val="24"/>
        </w:rPr>
        <w:t>Diciembre</w:t>
      </w:r>
      <w:proofErr w:type="gramEnd"/>
      <w:r w:rsidRPr="00333D21">
        <w:rPr>
          <w:rStyle w:val="nfasis"/>
          <w:rFonts w:ascii="Times New Roman" w:hAnsi="Times New Roman" w:cs="Times New Roman"/>
          <w:bCs/>
          <w:sz w:val="24"/>
          <w:szCs w:val="24"/>
        </w:rPr>
        <w:t>, 2020). Ley 6968 es la ratificación de la Convención sobre la eliminación de todas las formas de discriminación contra la mujer.</w:t>
      </w:r>
      <w:r w:rsidRPr="00333D21">
        <w:rPr>
          <w:rFonts w:ascii="Times New Roman" w:hAnsi="Times New Roman" w:cs="Times New Roman"/>
          <w:bCs/>
          <w:iCs/>
          <w:sz w:val="24"/>
          <w:szCs w:val="24"/>
        </w:rPr>
        <w:t xml:space="preserve"> </w:t>
      </w:r>
      <w:hyperlink r:id="rId72" w:history="1">
        <w:r w:rsidRPr="00333D21">
          <w:rPr>
            <w:rStyle w:val="Hipervnculo"/>
            <w:rFonts w:ascii="Times New Roman" w:hAnsi="Times New Roman" w:cs="Times New Roman"/>
            <w:bCs/>
            <w:color w:val="auto"/>
            <w:sz w:val="24"/>
            <w:szCs w:val="24"/>
            <w:u w:val="none"/>
          </w:rPr>
          <w:t>http://www.pgrweb.go.cr/scij/busqueda/normativa/normas/nrm_texto_completo.asp</w:t>
        </w:r>
      </w:hyperlink>
    </w:p>
    <w:p w14:paraId="74407E73" w14:textId="77777777" w:rsidR="003E55D9" w:rsidRPr="00333D21" w:rsidRDefault="003E55D9" w:rsidP="003E55D9">
      <w:pPr>
        <w:pStyle w:val="Standard"/>
        <w:spacing w:after="0" w:line="360" w:lineRule="auto"/>
        <w:ind w:left="709" w:hanging="709"/>
        <w:jc w:val="both"/>
      </w:pPr>
      <w:r w:rsidRPr="00333D21">
        <w:rPr>
          <w:rStyle w:val="nfasis"/>
          <w:bCs/>
          <w:sz w:val="24"/>
          <w:szCs w:val="24"/>
        </w:rPr>
        <w:t>Sistema Costarricense de Información Jurídica</w:t>
      </w:r>
      <w:r w:rsidRPr="00333D21">
        <w:rPr>
          <w:rFonts w:ascii="Times New Roman" w:hAnsi="Times New Roman" w:cs="Times New Roman"/>
          <w:bCs/>
          <w:sz w:val="24"/>
          <w:szCs w:val="24"/>
        </w:rPr>
        <w:t xml:space="preserve"> (SCIJ). (</w:t>
      </w:r>
      <w:proofErr w:type="gramStart"/>
      <w:r w:rsidRPr="00333D21">
        <w:rPr>
          <w:rStyle w:val="nfasis"/>
          <w:rFonts w:ascii="Times New Roman" w:hAnsi="Times New Roman" w:cs="Times New Roman"/>
          <w:bCs/>
          <w:sz w:val="24"/>
          <w:szCs w:val="24"/>
        </w:rPr>
        <w:t>Diciembre</w:t>
      </w:r>
      <w:proofErr w:type="gramEnd"/>
      <w:r w:rsidRPr="00333D21">
        <w:rPr>
          <w:rStyle w:val="nfasis"/>
          <w:rFonts w:ascii="Times New Roman" w:hAnsi="Times New Roman" w:cs="Times New Roman"/>
          <w:bCs/>
          <w:sz w:val="24"/>
          <w:szCs w:val="24"/>
        </w:rPr>
        <w:t xml:space="preserve">, </w:t>
      </w:r>
      <w:r w:rsidRPr="00333D21">
        <w:rPr>
          <w:rFonts w:ascii="Times New Roman" w:hAnsi="Times New Roman" w:cs="Times New Roman"/>
          <w:bCs/>
          <w:sz w:val="24"/>
          <w:szCs w:val="24"/>
        </w:rPr>
        <w:t>2020). Ley que ratifica la Convención Interamericana para prevenir, sancionar y erradicar la violencia la mujer. Convención Belém Do Pará. http://www.pgrweb.go.cr/scij/Busqueda/Normativa/Normas/nrm_texto_completo.aspx?param1=NRTC&amp;nValor1=1&amp;nValor2=24602&amp;strTipM=TC</w:t>
      </w:r>
    </w:p>
    <w:p w14:paraId="693FFFA8" w14:textId="77777777" w:rsidR="003E55D9" w:rsidRPr="00333D21" w:rsidRDefault="003E55D9" w:rsidP="003E55D9">
      <w:pPr>
        <w:pStyle w:val="Standard"/>
        <w:spacing w:after="0" w:line="360" w:lineRule="auto"/>
        <w:ind w:left="709" w:hanging="709"/>
        <w:jc w:val="both"/>
      </w:pPr>
      <w:r w:rsidRPr="00333D21">
        <w:rPr>
          <w:rFonts w:ascii="Times New Roman" w:hAnsi="Times New Roman" w:cs="Times New Roman"/>
          <w:bCs/>
          <w:sz w:val="24"/>
          <w:szCs w:val="24"/>
        </w:rPr>
        <w:t>Sistema Costarricense de Información Jurídica (SCIJ). (</w:t>
      </w:r>
      <w:proofErr w:type="gramStart"/>
      <w:r w:rsidRPr="00333D21">
        <w:rPr>
          <w:rStyle w:val="nfasis"/>
          <w:rFonts w:ascii="Times New Roman" w:hAnsi="Times New Roman" w:cs="Times New Roman"/>
          <w:bCs/>
          <w:sz w:val="24"/>
          <w:szCs w:val="24"/>
        </w:rPr>
        <w:t>Diciembre</w:t>
      </w:r>
      <w:proofErr w:type="gramEnd"/>
      <w:r w:rsidRPr="00333D21">
        <w:rPr>
          <w:rStyle w:val="nfasis"/>
          <w:rFonts w:ascii="Times New Roman" w:hAnsi="Times New Roman" w:cs="Times New Roman"/>
          <w:bCs/>
          <w:sz w:val="24"/>
          <w:szCs w:val="24"/>
        </w:rPr>
        <w:t xml:space="preserve">, </w:t>
      </w:r>
      <w:r w:rsidRPr="00333D21">
        <w:rPr>
          <w:rFonts w:ascii="Times New Roman" w:hAnsi="Times New Roman" w:cs="Times New Roman"/>
          <w:bCs/>
          <w:sz w:val="24"/>
          <w:szCs w:val="24"/>
        </w:rPr>
        <w:t xml:space="preserve">2020). </w:t>
      </w:r>
      <w:r w:rsidRPr="00333D21">
        <w:rPr>
          <w:rFonts w:ascii="Times New Roman" w:hAnsi="Times New Roman" w:cs="Times New Roman"/>
          <w:bCs/>
          <w:i/>
          <w:sz w:val="24"/>
          <w:szCs w:val="24"/>
        </w:rPr>
        <w:t xml:space="preserve">Ley 7586: Ley Contra la Violencia Doméstica. </w:t>
      </w:r>
      <w:hyperlink r:id="rId73" w:history="1">
        <w:r w:rsidRPr="00333D21">
          <w:rPr>
            <w:rStyle w:val="Hipervnculo"/>
            <w:rFonts w:ascii="Times New Roman" w:hAnsi="Times New Roman" w:cs="Times New Roman"/>
            <w:bCs/>
            <w:color w:val="auto"/>
            <w:sz w:val="24"/>
            <w:szCs w:val="24"/>
            <w:u w:val="none"/>
          </w:rPr>
          <w:t>http://www.pgrweb.go.cr/scij/Busqueda/Normativa/Normas/nrm_texto_completo.aspx?param1=NRTC&amp;nValor1=1&amp;nValor2=27926&amp;nValor3=0&amp;strTipM=TC</w:t>
        </w:r>
      </w:hyperlink>
    </w:p>
    <w:p w14:paraId="573FAFDD" w14:textId="2132FD20" w:rsidR="003E55D9" w:rsidRPr="00333D21" w:rsidRDefault="003E55D9" w:rsidP="003E55D9">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 xml:space="preserve">Tejeda, A. (2005). </w:t>
      </w:r>
      <w:r w:rsidR="00F74C4C" w:rsidRPr="00333D21">
        <w:rPr>
          <w:rFonts w:ascii="Times New Roman" w:hAnsi="Times New Roman" w:cs="Times New Roman"/>
          <w:bCs/>
          <w:sz w:val="24"/>
          <w:szCs w:val="24"/>
        </w:rPr>
        <w:t>Atención</w:t>
      </w:r>
      <w:r w:rsidRPr="00333D21">
        <w:rPr>
          <w:rFonts w:ascii="Times New Roman" w:hAnsi="Times New Roman" w:cs="Times New Roman"/>
          <w:bCs/>
          <w:sz w:val="24"/>
          <w:szCs w:val="24"/>
        </w:rPr>
        <w:t xml:space="preserve"> humana en la teoría cognitiva social: definición y posibilidades de aplicación. </w:t>
      </w:r>
      <w:r w:rsidRPr="00333D21">
        <w:rPr>
          <w:rFonts w:ascii="Times New Roman" w:hAnsi="Times New Roman" w:cs="Times New Roman"/>
          <w:bCs/>
          <w:i/>
          <w:sz w:val="24"/>
          <w:szCs w:val="24"/>
        </w:rPr>
        <w:t>Revista Pensamiento Psicológico</w:t>
      </w:r>
      <w:r w:rsidRPr="00333D21">
        <w:rPr>
          <w:rFonts w:ascii="Times New Roman" w:hAnsi="Times New Roman" w:cs="Times New Roman"/>
          <w:bCs/>
          <w:sz w:val="24"/>
          <w:szCs w:val="24"/>
        </w:rPr>
        <w:t xml:space="preserve">, 1(5). </w:t>
      </w:r>
      <w:hyperlink r:id="rId74" w:history="1">
        <w:r w:rsidRPr="00333D21">
          <w:rPr>
            <w:rStyle w:val="Hipervnculo"/>
            <w:rFonts w:ascii="Times New Roman" w:hAnsi="Times New Roman" w:cs="Times New Roman"/>
            <w:bCs/>
            <w:color w:val="auto"/>
            <w:sz w:val="24"/>
            <w:szCs w:val="24"/>
            <w:u w:val="none"/>
          </w:rPr>
          <w:t>https://www.redalyc.org/articulo.oa?id=80100510</w:t>
        </w:r>
      </w:hyperlink>
    </w:p>
    <w:p w14:paraId="414A9756" w14:textId="3C257164" w:rsidR="003E55D9" w:rsidRPr="00333D21" w:rsidRDefault="003E55D9" w:rsidP="00333D21">
      <w:pPr>
        <w:pStyle w:val="uk-text-justify"/>
        <w:shd w:val="clear" w:color="auto" w:fill="FFFFFF"/>
        <w:spacing w:before="0" w:after="0" w:line="360" w:lineRule="auto"/>
        <w:ind w:left="709" w:hanging="709"/>
        <w:rPr>
          <w:bCs/>
          <w:i/>
        </w:rPr>
      </w:pPr>
      <w:r w:rsidRPr="00333D21">
        <w:rPr>
          <w:bCs/>
        </w:rPr>
        <w:t xml:space="preserve">Fondo de las Naciones Unidas para la Infancia (UNICEF). (2006). </w:t>
      </w:r>
      <w:r w:rsidRPr="00333D21">
        <w:rPr>
          <w:bCs/>
          <w:i/>
        </w:rPr>
        <w:t>Convención</w:t>
      </w:r>
      <w:r w:rsidR="002179A8">
        <w:rPr>
          <w:bCs/>
          <w:i/>
        </w:rPr>
        <w:t xml:space="preserve"> </w:t>
      </w:r>
      <w:r w:rsidRPr="00333D21">
        <w:rPr>
          <w:bCs/>
          <w:i/>
        </w:rPr>
        <w:t>sobre los Derechos del Niño.</w:t>
      </w:r>
      <w:r w:rsidRPr="00333D21">
        <w:rPr>
          <w:bCs/>
        </w:rPr>
        <w:t xml:space="preserve"> </w:t>
      </w:r>
      <w:hyperlink r:id="rId75" w:history="1">
        <w:r w:rsidRPr="00333D21">
          <w:rPr>
            <w:rStyle w:val="Hipervnculo"/>
            <w:bCs/>
            <w:color w:val="auto"/>
            <w:u w:val="none"/>
          </w:rPr>
          <w:t>https://www.unicef.org/Estudio_violencia_contra.pdf</w:t>
        </w:r>
      </w:hyperlink>
    </w:p>
    <w:p w14:paraId="659CA737" w14:textId="77777777" w:rsidR="003E55D9" w:rsidRPr="00333D21" w:rsidRDefault="003E55D9" w:rsidP="003E55D9">
      <w:pPr>
        <w:pStyle w:val="Textbody"/>
        <w:spacing w:after="0" w:line="360" w:lineRule="auto"/>
        <w:ind w:left="709" w:hanging="709"/>
        <w:jc w:val="both"/>
        <w:rPr>
          <w:rFonts w:ascii="Times New Roman" w:eastAsia="Calibri" w:hAnsi="Times New Roman" w:cs="Times New Roman"/>
          <w:bCs/>
          <w:sz w:val="24"/>
          <w:szCs w:val="24"/>
          <w:lang w:val="es-SV"/>
        </w:rPr>
      </w:pPr>
      <w:r w:rsidRPr="00333D21">
        <w:rPr>
          <w:rFonts w:ascii="Times New Roman" w:eastAsia="Calibri" w:hAnsi="Times New Roman" w:cs="Times New Roman"/>
          <w:bCs/>
          <w:sz w:val="24"/>
          <w:szCs w:val="24"/>
          <w:lang w:val="es-SV"/>
        </w:rPr>
        <w:t xml:space="preserve">Villareal, A. (2003). Relaciones de poder en la sociedad patriarcal. </w:t>
      </w:r>
      <w:hyperlink r:id="rId76" w:history="1">
        <w:r w:rsidRPr="00333D21">
          <w:rPr>
            <w:rStyle w:val="Hipervnculo"/>
            <w:rFonts w:ascii="Times New Roman" w:eastAsia="Calibri" w:hAnsi="Times New Roman" w:cs="Times New Roman"/>
            <w:bCs/>
            <w:color w:val="auto"/>
            <w:sz w:val="24"/>
            <w:szCs w:val="24"/>
            <w:u w:val="none"/>
            <w:lang w:val="es-SV"/>
          </w:rPr>
          <w:t>http://oaji.net/articles/2016/2962-1474998759.pdf</w:t>
        </w:r>
      </w:hyperlink>
    </w:p>
    <w:p w14:paraId="45C7D52D" w14:textId="77777777" w:rsidR="003E55D9" w:rsidRPr="00333D21" w:rsidRDefault="003E55D9" w:rsidP="003E55D9">
      <w:pPr>
        <w:pStyle w:val="Standard"/>
        <w:spacing w:after="0" w:line="360" w:lineRule="auto"/>
        <w:ind w:left="709" w:hanging="709"/>
        <w:jc w:val="both"/>
        <w:rPr>
          <w:rFonts w:ascii="Times New Roman" w:hAnsi="Times New Roman" w:cs="Times New Roman"/>
          <w:bCs/>
          <w:sz w:val="24"/>
          <w:szCs w:val="24"/>
        </w:rPr>
      </w:pPr>
      <w:r w:rsidRPr="00333D21">
        <w:rPr>
          <w:rFonts w:ascii="Times New Roman" w:hAnsi="Times New Roman" w:cs="Times New Roman"/>
          <w:bCs/>
          <w:sz w:val="24"/>
          <w:szCs w:val="24"/>
        </w:rPr>
        <w:t xml:space="preserve">XIV Cumbre Judicial Iberoamericana. (2008). </w:t>
      </w:r>
      <w:r w:rsidRPr="00333D21">
        <w:rPr>
          <w:rFonts w:ascii="Times New Roman" w:hAnsi="Times New Roman" w:cs="Times New Roman"/>
          <w:bCs/>
          <w:i/>
          <w:sz w:val="24"/>
          <w:szCs w:val="24"/>
        </w:rPr>
        <w:t xml:space="preserve">100 </w:t>
      </w:r>
      <w:proofErr w:type="gramStart"/>
      <w:r w:rsidRPr="00333D21">
        <w:rPr>
          <w:rFonts w:ascii="Times New Roman" w:hAnsi="Times New Roman" w:cs="Times New Roman"/>
          <w:bCs/>
          <w:i/>
          <w:sz w:val="24"/>
          <w:szCs w:val="24"/>
        </w:rPr>
        <w:t>Reglas</w:t>
      </w:r>
      <w:proofErr w:type="gramEnd"/>
      <w:r w:rsidRPr="00333D21">
        <w:rPr>
          <w:rFonts w:ascii="Times New Roman" w:hAnsi="Times New Roman" w:cs="Times New Roman"/>
          <w:bCs/>
          <w:i/>
          <w:sz w:val="24"/>
          <w:szCs w:val="24"/>
        </w:rPr>
        <w:t xml:space="preserve"> de Brasilia sobre el acceso a la justicia de las personas en condición de vulnerabilidad. </w:t>
      </w:r>
      <w:hyperlink r:id="rId77" w:history="1">
        <w:r w:rsidRPr="00333D21">
          <w:rPr>
            <w:rStyle w:val="Hipervnculo"/>
            <w:rFonts w:ascii="Times New Roman" w:hAnsi="Times New Roman" w:cs="Times New Roman"/>
            <w:bCs/>
            <w:color w:val="auto"/>
            <w:sz w:val="24"/>
            <w:szCs w:val="24"/>
            <w:u w:val="none"/>
          </w:rPr>
          <w:t>https://www.acnur.org/fileadmin/Documentos/BDL/2009/7037.pdf</w:t>
        </w:r>
      </w:hyperlink>
    </w:p>
    <w:p w14:paraId="6A32AFBD" w14:textId="75B3AF04" w:rsidR="00995286" w:rsidRPr="00333D21" w:rsidRDefault="00995286" w:rsidP="00333D21">
      <w:pPr>
        <w:pStyle w:val="Textbody"/>
        <w:sectPr w:rsidR="00995286" w:rsidRPr="00333D21" w:rsidSect="007C0BE3">
          <w:pgSz w:w="12240" w:h="15840"/>
          <w:pgMar w:top="1418" w:right="1418" w:bottom="1418" w:left="1418" w:header="709" w:footer="709" w:gutter="680"/>
          <w:cols w:space="720"/>
        </w:sectPr>
      </w:pPr>
    </w:p>
    <w:p w14:paraId="6C2AC16B" w14:textId="567BE5FB" w:rsidR="00E10342" w:rsidRPr="002A4C9C" w:rsidRDefault="00D31DDB" w:rsidP="002A4C9C">
      <w:pPr>
        <w:pStyle w:val="Ttulo1"/>
      </w:pPr>
      <w:bookmarkStart w:id="406" w:name="_Toc62476113"/>
      <w:bookmarkStart w:id="407" w:name="_Toc62476319"/>
      <w:bookmarkStart w:id="408" w:name="_Toc63688985"/>
      <w:r w:rsidRPr="002A4C9C">
        <w:lastRenderedPageBreak/>
        <w:t>ANEXOS</w:t>
      </w:r>
      <w:bookmarkEnd w:id="402"/>
      <w:bookmarkEnd w:id="403"/>
      <w:bookmarkEnd w:id="404"/>
      <w:bookmarkEnd w:id="406"/>
      <w:bookmarkEnd w:id="407"/>
      <w:bookmarkEnd w:id="408"/>
    </w:p>
    <w:p w14:paraId="3CD048F7" w14:textId="2A4ED495" w:rsidR="00E10342" w:rsidRPr="002A4C9C" w:rsidRDefault="00D31DDB" w:rsidP="002A4C9C">
      <w:pPr>
        <w:pStyle w:val="Ttulo2"/>
      </w:pPr>
      <w:bookmarkStart w:id="409" w:name="__RefHeading__27527_1894434827"/>
      <w:bookmarkStart w:id="410" w:name="_Toc61277022"/>
      <w:bookmarkStart w:id="411" w:name="_Toc62463372"/>
      <w:bookmarkStart w:id="412" w:name="_Toc62476114"/>
      <w:bookmarkStart w:id="413" w:name="_Toc62476320"/>
      <w:bookmarkStart w:id="414" w:name="_Toc63688986"/>
      <w:r w:rsidRPr="002A4C9C">
        <w:t>Anexo 1</w:t>
      </w:r>
      <w:r w:rsidR="001E131F">
        <w:t>.</w:t>
      </w:r>
      <w:r w:rsidRPr="002A4C9C">
        <w:t xml:space="preserve"> Matriz de revisión de expedientes del Poder Judicial</w:t>
      </w:r>
      <w:bookmarkEnd w:id="409"/>
      <w:bookmarkEnd w:id="410"/>
      <w:bookmarkEnd w:id="411"/>
      <w:bookmarkEnd w:id="412"/>
      <w:bookmarkEnd w:id="413"/>
      <w:bookmarkEnd w:id="414"/>
    </w:p>
    <w:tbl>
      <w:tblPr>
        <w:tblW w:w="8932" w:type="dxa"/>
        <w:tblInd w:w="-108" w:type="dxa"/>
        <w:tblLayout w:type="fixed"/>
        <w:tblCellMar>
          <w:left w:w="10" w:type="dxa"/>
          <w:right w:w="10" w:type="dxa"/>
        </w:tblCellMar>
        <w:tblLook w:val="04A0" w:firstRow="1" w:lastRow="0" w:firstColumn="1" w:lastColumn="0" w:noHBand="0" w:noVBand="1"/>
      </w:tblPr>
      <w:tblGrid>
        <w:gridCol w:w="5734"/>
        <w:gridCol w:w="175"/>
        <w:gridCol w:w="496"/>
        <w:gridCol w:w="2487"/>
        <w:gridCol w:w="40"/>
      </w:tblGrid>
      <w:tr w:rsidR="00E10342" w14:paraId="7B1EDCFA" w14:textId="77777777" w:rsidTr="002A4C9C">
        <w:trPr>
          <w:trHeight w:val="255"/>
        </w:trPr>
        <w:tc>
          <w:tcPr>
            <w:tcW w:w="8892" w:type="dxa"/>
            <w:gridSpan w:val="4"/>
            <w:tcBorders>
              <w:top w:val="single" w:sz="4" w:space="0" w:color="00000A"/>
              <w:left w:val="single" w:sz="4" w:space="0" w:color="00000A"/>
              <w:bottom w:val="single" w:sz="4" w:space="0" w:color="00000A"/>
              <w:right w:val="single" w:sz="4" w:space="0" w:color="00000A"/>
            </w:tcBorders>
            <w:shd w:val="clear" w:color="auto" w:fill="BDD6EE"/>
            <w:tcMar>
              <w:top w:w="0" w:type="dxa"/>
              <w:left w:w="108" w:type="dxa"/>
              <w:bottom w:w="0" w:type="dxa"/>
              <w:right w:w="108" w:type="dxa"/>
            </w:tcMar>
          </w:tcPr>
          <w:p w14:paraId="1D8BEF51" w14:textId="77777777" w:rsidR="00E10342" w:rsidRDefault="00D31DDB">
            <w:pPr>
              <w:pStyle w:val="Prrafodelista"/>
              <w:spacing w:after="20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I PARTE: Información General</w:t>
            </w:r>
          </w:p>
        </w:tc>
        <w:tc>
          <w:tcPr>
            <w:tcW w:w="40" w:type="dxa"/>
          </w:tcPr>
          <w:p w14:paraId="1C68CA20" w14:textId="77777777" w:rsidR="00E10342" w:rsidRDefault="00E10342">
            <w:pPr>
              <w:pStyle w:val="Standard"/>
            </w:pPr>
          </w:p>
        </w:tc>
      </w:tr>
      <w:tr w:rsidR="00E10342" w14:paraId="68AF95D3" w14:textId="77777777" w:rsidTr="002A4C9C">
        <w:trPr>
          <w:trHeight w:val="70"/>
        </w:trPr>
        <w:tc>
          <w:tcPr>
            <w:tcW w:w="8892" w:type="dxa"/>
            <w:gridSpan w:val="4"/>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A105B3A"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Número de expediente:</w:t>
            </w:r>
          </w:p>
        </w:tc>
        <w:tc>
          <w:tcPr>
            <w:tcW w:w="40" w:type="dxa"/>
          </w:tcPr>
          <w:p w14:paraId="1088BC61" w14:textId="77777777" w:rsidR="00E10342" w:rsidRDefault="00E10342">
            <w:pPr>
              <w:pStyle w:val="Standard"/>
            </w:pPr>
          </w:p>
        </w:tc>
      </w:tr>
      <w:tr w:rsidR="00E10342" w14:paraId="0869B2AA" w14:textId="77777777" w:rsidTr="002A4C9C">
        <w:trPr>
          <w:trHeight w:val="331"/>
        </w:trPr>
        <w:tc>
          <w:tcPr>
            <w:tcW w:w="8892" w:type="dxa"/>
            <w:gridSpan w:val="4"/>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313AF85"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Fecha de revisión:</w:t>
            </w:r>
          </w:p>
        </w:tc>
        <w:tc>
          <w:tcPr>
            <w:tcW w:w="40" w:type="dxa"/>
          </w:tcPr>
          <w:p w14:paraId="1541626D" w14:textId="77777777" w:rsidR="00E10342" w:rsidRDefault="00E10342">
            <w:pPr>
              <w:pStyle w:val="Standard"/>
            </w:pPr>
          </w:p>
        </w:tc>
      </w:tr>
      <w:tr w:rsidR="00E10342" w14:paraId="024E6D27" w14:textId="77777777" w:rsidTr="002A4C9C">
        <w:trPr>
          <w:gridAfter w:val="1"/>
          <w:wAfter w:w="40" w:type="dxa"/>
          <w:trHeight w:val="315"/>
        </w:trPr>
        <w:tc>
          <w:tcPr>
            <w:tcW w:w="6405" w:type="dxa"/>
            <w:gridSpan w:val="3"/>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9F7C6AC" w14:textId="3BAD026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Hora inicial:</w:t>
            </w:r>
            <w:r w:rsidR="001768B3">
              <w:rPr>
                <w:rFonts w:ascii="Times New Roman" w:hAnsi="Times New Roman" w:cs="Times New Roman"/>
                <w:bCs/>
                <w:sz w:val="24"/>
                <w:szCs w:val="24"/>
              </w:rPr>
              <w:t xml:space="preserve">          </w:t>
            </w:r>
            <w:r>
              <w:rPr>
                <w:rFonts w:ascii="Times New Roman" w:hAnsi="Times New Roman" w:cs="Times New Roman"/>
                <w:bCs/>
                <w:sz w:val="24"/>
                <w:szCs w:val="24"/>
              </w:rPr>
              <w:t xml:space="preserve"> </w:t>
            </w:r>
          </w:p>
        </w:tc>
        <w:tc>
          <w:tcPr>
            <w:tcW w:w="248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18DA70E"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Hora Final:</w:t>
            </w:r>
          </w:p>
        </w:tc>
      </w:tr>
      <w:tr w:rsidR="00E10342" w14:paraId="305E9C3B" w14:textId="77777777" w:rsidTr="002A4C9C">
        <w:trPr>
          <w:trHeight w:val="405"/>
        </w:trPr>
        <w:tc>
          <w:tcPr>
            <w:tcW w:w="8892" w:type="dxa"/>
            <w:gridSpan w:val="4"/>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5BE12F7"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Lugar de Ubicación del expediente:</w:t>
            </w:r>
          </w:p>
        </w:tc>
        <w:tc>
          <w:tcPr>
            <w:tcW w:w="40" w:type="dxa"/>
          </w:tcPr>
          <w:p w14:paraId="37EA3E23" w14:textId="77777777" w:rsidR="00E10342" w:rsidRDefault="00E10342">
            <w:pPr>
              <w:pStyle w:val="Standard"/>
            </w:pPr>
          </w:p>
        </w:tc>
      </w:tr>
      <w:tr w:rsidR="00E10342" w14:paraId="4AA4CE30" w14:textId="77777777" w:rsidTr="002A4C9C">
        <w:trPr>
          <w:trHeight w:val="405"/>
        </w:trPr>
        <w:tc>
          <w:tcPr>
            <w:tcW w:w="8892" w:type="dxa"/>
            <w:gridSpan w:val="4"/>
            <w:tcBorders>
              <w:top w:val="single" w:sz="4" w:space="0" w:color="00000A"/>
              <w:left w:val="single" w:sz="4" w:space="0" w:color="00000A"/>
              <w:bottom w:val="single" w:sz="4" w:space="0" w:color="00000A"/>
              <w:right w:val="single" w:sz="4" w:space="0" w:color="00000A"/>
            </w:tcBorders>
            <w:shd w:val="clear" w:color="auto" w:fill="BDD6EE"/>
            <w:tcMar>
              <w:top w:w="0" w:type="dxa"/>
              <w:left w:w="108" w:type="dxa"/>
              <w:bottom w:w="0" w:type="dxa"/>
              <w:right w:w="108" w:type="dxa"/>
            </w:tcMar>
          </w:tcPr>
          <w:p w14:paraId="389C6345" w14:textId="77777777" w:rsidR="00E10342" w:rsidRDefault="00D31DDB">
            <w:pPr>
              <w:pStyle w:val="Prrafodelista"/>
              <w:spacing w:after="200" w:line="360" w:lineRule="auto"/>
              <w:jc w:val="both"/>
              <w:rPr>
                <w:rFonts w:ascii="Times New Roman" w:hAnsi="Times New Roman" w:cs="Times New Roman"/>
                <w:b/>
                <w:bCs/>
                <w:sz w:val="24"/>
                <w:szCs w:val="24"/>
              </w:rPr>
            </w:pPr>
            <w:r>
              <w:rPr>
                <w:rFonts w:ascii="Times New Roman" w:hAnsi="Times New Roman" w:cs="Times New Roman"/>
                <w:b/>
                <w:bCs/>
                <w:sz w:val="24"/>
                <w:szCs w:val="24"/>
              </w:rPr>
              <w:t>II PARTE: Violencia Intrafamiliar</w:t>
            </w:r>
          </w:p>
          <w:p w14:paraId="62990DC1" w14:textId="69CD9785" w:rsidR="00E10342" w:rsidRDefault="00D31DDB">
            <w:pPr>
              <w:pStyle w:val="Prrafodelista"/>
              <w:spacing w:line="360" w:lineRule="auto"/>
            </w:pPr>
            <w:r>
              <w:rPr>
                <w:rFonts w:ascii="Times New Roman" w:hAnsi="Times New Roman" w:cs="Times New Roman"/>
                <w:b/>
                <w:bCs/>
                <w:sz w:val="24"/>
                <w:szCs w:val="24"/>
              </w:rPr>
              <w:t>Objetivo:</w:t>
            </w:r>
            <w:r w:rsidR="005F159A">
              <w:rPr>
                <w:rFonts w:ascii="Times New Roman" w:hAnsi="Times New Roman" w:cs="Times New Roman"/>
                <w:b/>
                <w:bCs/>
                <w:sz w:val="24"/>
                <w:szCs w:val="24"/>
              </w:rPr>
              <w:t xml:space="preserve"> </w:t>
            </w:r>
            <w:r>
              <w:rPr>
                <w:rFonts w:ascii="Times New Roman" w:hAnsi="Times New Roman" w:cs="Times New Roman"/>
                <w:bCs/>
                <w:sz w:val="24"/>
                <w:szCs w:val="24"/>
              </w:rPr>
              <w:t>Describir las características de la violencia intrafamiliar que presentan las mujeres víctimas en el Juzgado Contra la Violencia Doméstica del II Circuito Judicial de San José.</w:t>
            </w:r>
          </w:p>
        </w:tc>
        <w:tc>
          <w:tcPr>
            <w:tcW w:w="40" w:type="dxa"/>
          </w:tcPr>
          <w:p w14:paraId="24B18E17" w14:textId="77777777" w:rsidR="00E10342" w:rsidRDefault="00E10342">
            <w:pPr>
              <w:pStyle w:val="Standard"/>
            </w:pPr>
          </w:p>
        </w:tc>
      </w:tr>
      <w:tr w:rsidR="00E10342" w14:paraId="72BB106F" w14:textId="77777777" w:rsidTr="002A4C9C">
        <w:trPr>
          <w:gridAfter w:val="1"/>
          <w:wAfter w:w="40" w:type="dxa"/>
          <w:trHeight w:val="331"/>
        </w:trPr>
        <w:tc>
          <w:tcPr>
            <w:tcW w:w="590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F86EC5E"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Unidades de análisis</w:t>
            </w:r>
          </w:p>
        </w:tc>
        <w:tc>
          <w:tcPr>
            <w:tcW w:w="298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6269F53" w14:textId="77777777" w:rsidR="00E10342" w:rsidRDefault="00E10342">
            <w:pPr>
              <w:pStyle w:val="Prrafodelista"/>
              <w:spacing w:after="200" w:line="360" w:lineRule="auto"/>
              <w:jc w:val="both"/>
              <w:rPr>
                <w:rFonts w:ascii="Times New Roman" w:hAnsi="Times New Roman" w:cs="Times New Roman"/>
                <w:bCs/>
                <w:sz w:val="24"/>
                <w:szCs w:val="24"/>
              </w:rPr>
            </w:pPr>
          </w:p>
        </w:tc>
      </w:tr>
      <w:tr w:rsidR="00E10342" w14:paraId="1AFABD01" w14:textId="77777777" w:rsidTr="002A4C9C">
        <w:trPr>
          <w:gridAfter w:val="1"/>
          <w:wAfter w:w="40" w:type="dxa"/>
          <w:trHeight w:val="837"/>
        </w:trPr>
        <w:tc>
          <w:tcPr>
            <w:tcW w:w="590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D727800" w14:textId="77777777" w:rsidR="00E10342" w:rsidRDefault="00D31DDB">
            <w:pPr>
              <w:pStyle w:val="Prrafodelista"/>
              <w:spacing w:after="200" w:line="360" w:lineRule="auto"/>
              <w:rPr>
                <w:rFonts w:ascii="Times New Roman" w:hAnsi="Times New Roman" w:cs="Times New Roman"/>
                <w:bCs/>
                <w:sz w:val="24"/>
                <w:szCs w:val="24"/>
              </w:rPr>
            </w:pPr>
            <w:r>
              <w:rPr>
                <w:rFonts w:ascii="Times New Roman" w:hAnsi="Times New Roman" w:cs="Times New Roman"/>
                <w:bCs/>
                <w:sz w:val="24"/>
                <w:szCs w:val="24"/>
              </w:rPr>
              <w:t>Tipos de violencia Intrafamiliar</w:t>
            </w:r>
          </w:p>
        </w:tc>
        <w:tc>
          <w:tcPr>
            <w:tcW w:w="298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B724D45"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Física</w:t>
            </w:r>
          </w:p>
          <w:p w14:paraId="6B0B55E3"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Verbal</w:t>
            </w:r>
          </w:p>
          <w:p w14:paraId="2CEACF31"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Psicológica</w:t>
            </w:r>
          </w:p>
          <w:p w14:paraId="471B49AA"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Patrimonial</w:t>
            </w:r>
          </w:p>
          <w:p w14:paraId="7CE5E7CE"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Sexual</w:t>
            </w:r>
          </w:p>
        </w:tc>
      </w:tr>
      <w:tr w:rsidR="00E10342" w14:paraId="26F97A29" w14:textId="77777777" w:rsidTr="002A4C9C">
        <w:trPr>
          <w:gridAfter w:val="1"/>
          <w:wAfter w:w="40" w:type="dxa"/>
          <w:trHeight w:val="1246"/>
        </w:trPr>
        <w:tc>
          <w:tcPr>
            <w:tcW w:w="590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03189E2" w14:textId="77777777" w:rsidR="00E10342" w:rsidRDefault="00D31DDB">
            <w:pPr>
              <w:pStyle w:val="Prrafodelista"/>
              <w:spacing w:after="200" w:line="360" w:lineRule="auto"/>
              <w:rPr>
                <w:rFonts w:ascii="Times New Roman" w:hAnsi="Times New Roman" w:cs="Times New Roman"/>
                <w:bCs/>
                <w:sz w:val="24"/>
                <w:szCs w:val="24"/>
              </w:rPr>
            </w:pPr>
            <w:r>
              <w:rPr>
                <w:rFonts w:ascii="Times New Roman" w:hAnsi="Times New Roman" w:cs="Times New Roman"/>
                <w:bCs/>
                <w:sz w:val="24"/>
                <w:szCs w:val="24"/>
              </w:rPr>
              <w:t>Tipos de vulnerabilidad.</w:t>
            </w:r>
          </w:p>
          <w:p w14:paraId="2783779F" w14:textId="77777777" w:rsidR="00E10342" w:rsidRDefault="00D31DDB">
            <w:pPr>
              <w:pStyle w:val="Prrafodelista"/>
              <w:spacing w:after="200" w:line="360" w:lineRule="auto"/>
              <w:rPr>
                <w:rFonts w:ascii="Times New Roman" w:hAnsi="Times New Roman" w:cs="Times New Roman"/>
                <w:bCs/>
                <w:sz w:val="24"/>
                <w:szCs w:val="24"/>
              </w:rPr>
            </w:pPr>
            <w:r>
              <w:rPr>
                <w:rFonts w:ascii="Times New Roman" w:hAnsi="Times New Roman" w:cs="Times New Roman"/>
                <w:bCs/>
                <w:sz w:val="24"/>
                <w:szCs w:val="24"/>
              </w:rPr>
              <w:t>Población vulnerable y habilidades cognitivas</w:t>
            </w:r>
          </w:p>
        </w:tc>
        <w:tc>
          <w:tcPr>
            <w:tcW w:w="298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990E467"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Sociales</w:t>
            </w:r>
          </w:p>
          <w:p w14:paraId="469734DC"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Cognitivas</w:t>
            </w:r>
          </w:p>
          <w:p w14:paraId="31D3B610"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Nacionalidad.</w:t>
            </w:r>
          </w:p>
          <w:p w14:paraId="21FC4AFF"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Lugar de residencia.</w:t>
            </w:r>
          </w:p>
          <w:p w14:paraId="66D5E18A"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Rango etario.</w:t>
            </w:r>
          </w:p>
          <w:p w14:paraId="363A6139"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Salario actual.</w:t>
            </w:r>
          </w:p>
          <w:p w14:paraId="78B0855F" w14:textId="77777777" w:rsidR="00E10342" w:rsidRDefault="00E10342">
            <w:pPr>
              <w:pStyle w:val="Prrafodelista"/>
              <w:spacing w:after="200" w:line="360" w:lineRule="auto"/>
              <w:jc w:val="both"/>
              <w:rPr>
                <w:rFonts w:ascii="Times New Roman" w:hAnsi="Times New Roman" w:cs="Times New Roman"/>
                <w:b/>
                <w:bCs/>
                <w:sz w:val="24"/>
                <w:szCs w:val="24"/>
              </w:rPr>
            </w:pPr>
          </w:p>
        </w:tc>
      </w:tr>
      <w:tr w:rsidR="00654111" w14:paraId="5912AF32" w14:textId="77777777" w:rsidTr="002A4C9C">
        <w:trPr>
          <w:gridAfter w:val="1"/>
          <w:wAfter w:w="40" w:type="dxa"/>
          <w:trHeight w:val="665"/>
        </w:trPr>
        <w:tc>
          <w:tcPr>
            <w:tcW w:w="590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BD0390E" w14:textId="77777777" w:rsidR="00654111" w:rsidRDefault="00654111">
            <w:pPr>
              <w:pStyle w:val="Prrafodelista"/>
              <w:spacing w:after="200" w:line="360" w:lineRule="auto"/>
              <w:rPr>
                <w:rFonts w:ascii="Times New Roman" w:hAnsi="Times New Roman" w:cs="Times New Roman"/>
                <w:bCs/>
                <w:sz w:val="24"/>
                <w:szCs w:val="24"/>
              </w:rPr>
            </w:pPr>
            <w:r>
              <w:rPr>
                <w:rFonts w:ascii="Times New Roman" w:hAnsi="Times New Roman" w:cs="Times New Roman"/>
                <w:bCs/>
                <w:sz w:val="24"/>
                <w:szCs w:val="24"/>
              </w:rPr>
              <w:lastRenderedPageBreak/>
              <w:t>Etapa de narración</w:t>
            </w:r>
          </w:p>
        </w:tc>
        <w:tc>
          <w:tcPr>
            <w:tcW w:w="298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E29B6D7" w14:textId="77777777" w:rsidR="00654111" w:rsidRDefault="00654111">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Vulnerabilidad identificada</w:t>
            </w:r>
          </w:p>
          <w:p w14:paraId="71580708" w14:textId="77777777" w:rsidR="00654111" w:rsidRDefault="00654111">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Abordaje por equipo especializado</w:t>
            </w:r>
          </w:p>
        </w:tc>
      </w:tr>
      <w:tr w:rsidR="00654111" w14:paraId="2D975D21" w14:textId="77777777" w:rsidTr="002A4C9C">
        <w:trPr>
          <w:gridAfter w:val="1"/>
          <w:wAfter w:w="40" w:type="dxa"/>
          <w:trHeight w:val="366"/>
        </w:trPr>
        <w:tc>
          <w:tcPr>
            <w:tcW w:w="590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CD80395" w14:textId="77777777" w:rsidR="00654111" w:rsidRDefault="00654111">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Presunción</w:t>
            </w:r>
          </w:p>
        </w:tc>
        <w:tc>
          <w:tcPr>
            <w:tcW w:w="298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60E2C9E" w14:textId="77777777" w:rsidR="00654111" w:rsidRDefault="00654111">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Pericia: resultado</w:t>
            </w:r>
          </w:p>
        </w:tc>
      </w:tr>
      <w:tr w:rsidR="00654111" w14:paraId="4EC15244" w14:textId="77777777" w:rsidTr="002A4C9C">
        <w:trPr>
          <w:gridAfter w:val="1"/>
          <w:wAfter w:w="40" w:type="dxa"/>
          <w:trHeight w:val="520"/>
        </w:trPr>
        <w:tc>
          <w:tcPr>
            <w:tcW w:w="590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2DC828C" w14:textId="5AAB6382" w:rsidR="00654111" w:rsidRDefault="00654111">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Audiencias,</w:t>
            </w:r>
            <w:r w:rsidR="005F159A">
              <w:rPr>
                <w:rFonts w:ascii="Times New Roman" w:hAnsi="Times New Roman" w:cs="Times New Roman"/>
                <w:bCs/>
                <w:sz w:val="24"/>
                <w:szCs w:val="24"/>
              </w:rPr>
              <w:t xml:space="preserve"> </w:t>
            </w:r>
            <w:r>
              <w:rPr>
                <w:rFonts w:ascii="Times New Roman" w:hAnsi="Times New Roman" w:cs="Times New Roman"/>
                <w:bCs/>
                <w:sz w:val="24"/>
                <w:szCs w:val="24"/>
              </w:rPr>
              <w:t>momentos de narración</w:t>
            </w:r>
          </w:p>
        </w:tc>
        <w:tc>
          <w:tcPr>
            <w:tcW w:w="298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088FA3F" w14:textId="77777777" w:rsidR="00654111" w:rsidRDefault="00654111">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Percepción de la persona juzgadora</w:t>
            </w:r>
          </w:p>
        </w:tc>
      </w:tr>
      <w:tr w:rsidR="00654111" w14:paraId="5DE09969" w14:textId="77777777" w:rsidTr="002A4C9C">
        <w:trPr>
          <w:trHeight w:val="885"/>
        </w:trPr>
        <w:tc>
          <w:tcPr>
            <w:tcW w:w="8892" w:type="dxa"/>
            <w:gridSpan w:val="4"/>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97DE13E" w14:textId="77777777" w:rsidR="00654111" w:rsidRDefault="00654111">
            <w:pPr>
              <w:pStyle w:val="Prrafodelista"/>
              <w:spacing w:after="200" w:line="360" w:lineRule="auto"/>
              <w:jc w:val="both"/>
              <w:rPr>
                <w:rFonts w:ascii="Times New Roman" w:hAnsi="Times New Roman" w:cs="Times New Roman"/>
                <w:b/>
                <w:bCs/>
                <w:sz w:val="24"/>
                <w:szCs w:val="24"/>
              </w:rPr>
            </w:pPr>
            <w:r>
              <w:rPr>
                <w:rFonts w:ascii="Times New Roman" w:hAnsi="Times New Roman" w:cs="Times New Roman"/>
                <w:b/>
                <w:bCs/>
                <w:sz w:val="24"/>
                <w:szCs w:val="24"/>
              </w:rPr>
              <w:t>I PARTE: Condiciones Socioeconómicas</w:t>
            </w:r>
          </w:p>
        </w:tc>
        <w:tc>
          <w:tcPr>
            <w:tcW w:w="40" w:type="dxa"/>
          </w:tcPr>
          <w:p w14:paraId="1D36E44A" w14:textId="77777777" w:rsidR="00654111" w:rsidRDefault="00654111">
            <w:pPr>
              <w:pStyle w:val="Standard"/>
            </w:pPr>
          </w:p>
        </w:tc>
      </w:tr>
      <w:tr w:rsidR="00E10342" w14:paraId="236F8604" w14:textId="77777777" w:rsidTr="002A4C9C">
        <w:trPr>
          <w:gridAfter w:val="1"/>
          <w:wAfter w:w="40" w:type="dxa"/>
          <w:trHeight w:val="331"/>
        </w:trPr>
        <w:tc>
          <w:tcPr>
            <w:tcW w:w="590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C6A49A2"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Variables e indicadores</w:t>
            </w:r>
          </w:p>
        </w:tc>
        <w:tc>
          <w:tcPr>
            <w:tcW w:w="298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4978253" w14:textId="1DA32A28"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Observaciones</w:t>
            </w:r>
          </w:p>
        </w:tc>
      </w:tr>
      <w:tr w:rsidR="00E10342" w14:paraId="73EBBD98" w14:textId="77777777" w:rsidTr="002A4C9C">
        <w:trPr>
          <w:gridAfter w:val="1"/>
          <w:wAfter w:w="40" w:type="dxa"/>
          <w:trHeight w:val="404"/>
        </w:trPr>
        <w:tc>
          <w:tcPr>
            <w:tcW w:w="590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8751575"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Estado civil.</w:t>
            </w:r>
          </w:p>
        </w:tc>
        <w:tc>
          <w:tcPr>
            <w:tcW w:w="298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EC4E05B" w14:textId="77777777" w:rsidR="00E10342" w:rsidRDefault="00D31DDB">
            <w:pPr>
              <w:pStyle w:val="Prrafodelista"/>
              <w:spacing w:after="200" w:line="36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 )</w:t>
            </w:r>
            <w:proofErr w:type="gramEnd"/>
            <w:r>
              <w:rPr>
                <w:rFonts w:ascii="Times New Roman" w:hAnsi="Times New Roman" w:cs="Times New Roman"/>
                <w:bCs/>
                <w:sz w:val="24"/>
                <w:szCs w:val="24"/>
              </w:rPr>
              <w:t xml:space="preserve"> Casada</w:t>
            </w:r>
          </w:p>
          <w:p w14:paraId="31DFB509" w14:textId="77777777" w:rsidR="00E10342" w:rsidRDefault="00D31DDB">
            <w:pPr>
              <w:pStyle w:val="Prrafodelista"/>
              <w:spacing w:after="200" w:line="36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 )</w:t>
            </w:r>
            <w:proofErr w:type="gramEnd"/>
            <w:r>
              <w:rPr>
                <w:rFonts w:ascii="Times New Roman" w:hAnsi="Times New Roman" w:cs="Times New Roman"/>
                <w:bCs/>
                <w:sz w:val="24"/>
                <w:szCs w:val="24"/>
              </w:rPr>
              <w:t xml:space="preserve"> soltera</w:t>
            </w:r>
          </w:p>
          <w:p w14:paraId="6E30FA07" w14:textId="77777777" w:rsidR="00E10342" w:rsidRDefault="00D31DDB">
            <w:pPr>
              <w:pStyle w:val="Prrafodelista"/>
              <w:spacing w:after="200" w:line="36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 )</w:t>
            </w:r>
            <w:proofErr w:type="gramEnd"/>
            <w:r>
              <w:rPr>
                <w:rFonts w:ascii="Times New Roman" w:hAnsi="Times New Roman" w:cs="Times New Roman"/>
                <w:bCs/>
                <w:sz w:val="24"/>
                <w:szCs w:val="24"/>
              </w:rPr>
              <w:t xml:space="preserve"> unión de hecho</w:t>
            </w:r>
          </w:p>
          <w:p w14:paraId="437B8009" w14:textId="5A082358" w:rsidR="00E10342" w:rsidRPr="002A4C9C" w:rsidRDefault="00D31DDB" w:rsidP="002A4C9C">
            <w:pPr>
              <w:pStyle w:val="Prrafodelista"/>
              <w:spacing w:after="200" w:line="36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w:t>
            </w:r>
            <w:r w:rsidR="005F159A">
              <w:rPr>
                <w:rFonts w:ascii="Times New Roman" w:hAnsi="Times New Roman" w:cs="Times New Roman"/>
                <w:bCs/>
                <w:sz w:val="24"/>
                <w:szCs w:val="24"/>
              </w:rPr>
              <w:t xml:space="preserve"> </w:t>
            </w:r>
            <w:r>
              <w:rPr>
                <w:rFonts w:ascii="Times New Roman" w:hAnsi="Times New Roman" w:cs="Times New Roman"/>
                <w:bCs/>
                <w:sz w:val="24"/>
                <w:szCs w:val="24"/>
              </w:rPr>
              <w:t>)</w:t>
            </w:r>
            <w:proofErr w:type="gramEnd"/>
            <w:r>
              <w:rPr>
                <w:rFonts w:ascii="Times New Roman" w:hAnsi="Times New Roman" w:cs="Times New Roman"/>
                <w:bCs/>
                <w:sz w:val="24"/>
                <w:szCs w:val="24"/>
              </w:rPr>
              <w:t xml:space="preserve"> viuda</w:t>
            </w:r>
          </w:p>
        </w:tc>
      </w:tr>
      <w:tr w:rsidR="00E10342" w14:paraId="4ACAD4B4" w14:textId="77777777" w:rsidTr="002A4C9C">
        <w:trPr>
          <w:gridAfter w:val="1"/>
          <w:wAfter w:w="40" w:type="dxa"/>
          <w:trHeight w:val="2258"/>
        </w:trPr>
        <w:tc>
          <w:tcPr>
            <w:tcW w:w="5909"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5D578BD"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Último año cursado de la educación.</w:t>
            </w:r>
          </w:p>
          <w:p w14:paraId="5985C2B3"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Tipo de empleo u ocupación.</w:t>
            </w:r>
          </w:p>
          <w:p w14:paraId="7B8B3746"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¿Tienen la Jefatura del hogar?</w:t>
            </w:r>
          </w:p>
          <w:p w14:paraId="26D46800"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¿Tiene responsabilidad de cuido a cargo?</w:t>
            </w:r>
          </w:p>
          <w:p w14:paraId="3DA68D4F"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Nacionalidad.</w:t>
            </w:r>
          </w:p>
          <w:p w14:paraId="3987EA37"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Lugar de residencia.</w:t>
            </w:r>
          </w:p>
          <w:p w14:paraId="2E3103A4"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Rango etario.</w:t>
            </w:r>
          </w:p>
          <w:p w14:paraId="2965853E"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Salario actual.</w:t>
            </w:r>
          </w:p>
          <w:p w14:paraId="36B56D1F"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Hijos y sus edades</w:t>
            </w:r>
          </w:p>
          <w:p w14:paraId="692810AE"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¿Consume drogas? ¿Cuáles?</w:t>
            </w:r>
          </w:p>
          <w:p w14:paraId="4114DBEC" w14:textId="77777777" w:rsidR="00E10342" w:rsidRDefault="00D31DDB">
            <w:pPr>
              <w:pStyle w:val="Prrafodelista"/>
              <w:spacing w:after="200" w:line="360" w:lineRule="auto"/>
              <w:jc w:val="both"/>
              <w:rPr>
                <w:rFonts w:ascii="Times New Roman" w:hAnsi="Times New Roman" w:cs="Times New Roman"/>
                <w:bCs/>
                <w:iCs/>
                <w:sz w:val="24"/>
                <w:szCs w:val="24"/>
              </w:rPr>
            </w:pPr>
            <w:r>
              <w:rPr>
                <w:rFonts w:ascii="Times New Roman" w:hAnsi="Times New Roman" w:cs="Times New Roman"/>
                <w:bCs/>
                <w:iCs/>
                <w:sz w:val="24"/>
                <w:szCs w:val="24"/>
              </w:rPr>
              <w:t>¿Tiene alguna discapacidad física o mental?</w:t>
            </w:r>
          </w:p>
          <w:p w14:paraId="5845B81C" w14:textId="77777777" w:rsidR="00E10342" w:rsidRDefault="00D31DDB">
            <w:pPr>
              <w:pStyle w:val="Prrafodelista"/>
              <w:spacing w:after="200" w:line="360" w:lineRule="auto"/>
              <w:jc w:val="both"/>
              <w:rPr>
                <w:rFonts w:ascii="Times New Roman" w:hAnsi="Times New Roman" w:cs="Times New Roman"/>
                <w:bCs/>
                <w:iCs/>
                <w:sz w:val="24"/>
                <w:szCs w:val="24"/>
              </w:rPr>
            </w:pPr>
            <w:r>
              <w:rPr>
                <w:rFonts w:ascii="Times New Roman" w:hAnsi="Times New Roman" w:cs="Times New Roman"/>
                <w:bCs/>
                <w:iCs/>
                <w:sz w:val="24"/>
                <w:szCs w:val="24"/>
              </w:rPr>
              <w:t>¿Ha sido víctima de algún tipo de violencia? (física, psicológica, sexual o patrimonial).</w:t>
            </w:r>
          </w:p>
          <w:p w14:paraId="05B5000A" w14:textId="77777777" w:rsidR="00E10342" w:rsidRDefault="00D31DDB">
            <w:pPr>
              <w:pStyle w:val="Prrafodelista"/>
              <w:spacing w:after="200" w:line="360" w:lineRule="auto"/>
              <w:jc w:val="both"/>
              <w:rPr>
                <w:rFonts w:ascii="Times New Roman" w:hAnsi="Times New Roman" w:cs="Times New Roman"/>
                <w:bCs/>
                <w:iCs/>
                <w:sz w:val="24"/>
                <w:szCs w:val="24"/>
              </w:rPr>
            </w:pPr>
            <w:r>
              <w:rPr>
                <w:rFonts w:ascii="Times New Roman" w:hAnsi="Times New Roman" w:cs="Times New Roman"/>
                <w:bCs/>
                <w:iCs/>
                <w:sz w:val="24"/>
                <w:szCs w:val="24"/>
              </w:rPr>
              <w:t>¿Pertenece a comunidades indígenas?</w:t>
            </w:r>
          </w:p>
          <w:p w14:paraId="0BCF2866" w14:textId="77777777" w:rsidR="00E10342" w:rsidRDefault="00D31DDB">
            <w:pPr>
              <w:pStyle w:val="Prrafodelista"/>
              <w:spacing w:after="200"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¿Pertenece a comunidad </w:t>
            </w:r>
            <w:proofErr w:type="spellStart"/>
            <w:r>
              <w:rPr>
                <w:rFonts w:ascii="Times New Roman" w:hAnsi="Times New Roman" w:cs="Times New Roman"/>
                <w:bCs/>
                <w:iCs/>
                <w:sz w:val="24"/>
                <w:szCs w:val="24"/>
              </w:rPr>
              <w:t>afrodecendiente</w:t>
            </w:r>
            <w:proofErr w:type="spellEnd"/>
            <w:r>
              <w:rPr>
                <w:rFonts w:ascii="Times New Roman" w:hAnsi="Times New Roman" w:cs="Times New Roman"/>
                <w:bCs/>
                <w:iCs/>
                <w:sz w:val="24"/>
                <w:szCs w:val="24"/>
              </w:rPr>
              <w:t>?</w:t>
            </w:r>
          </w:p>
          <w:p w14:paraId="254D7D57" w14:textId="77777777" w:rsidR="00E10342" w:rsidRDefault="00D31DDB">
            <w:pPr>
              <w:pStyle w:val="Prrafodelista"/>
              <w:spacing w:after="200"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 ¿Pertenece a comunidad LGTBIQQ?</w:t>
            </w:r>
          </w:p>
          <w:p w14:paraId="28CE337F" w14:textId="77777777" w:rsidR="00E10342" w:rsidRDefault="00D31DDB">
            <w:pPr>
              <w:pStyle w:val="Prrafodelista"/>
              <w:spacing w:after="200" w:line="360" w:lineRule="auto"/>
              <w:jc w:val="both"/>
              <w:rPr>
                <w:rFonts w:ascii="Times New Roman" w:hAnsi="Times New Roman" w:cs="Times New Roman"/>
                <w:bCs/>
                <w:iCs/>
                <w:sz w:val="24"/>
                <w:szCs w:val="24"/>
              </w:rPr>
            </w:pPr>
            <w:r>
              <w:rPr>
                <w:rFonts w:ascii="Times New Roman" w:hAnsi="Times New Roman" w:cs="Times New Roman"/>
                <w:bCs/>
                <w:iCs/>
                <w:sz w:val="24"/>
                <w:szCs w:val="24"/>
              </w:rPr>
              <w:t>¿Pertenece a comunidad migrante?</w:t>
            </w:r>
          </w:p>
          <w:p w14:paraId="099A4E28" w14:textId="77777777" w:rsidR="00E10342" w:rsidRDefault="00D31DDB">
            <w:pPr>
              <w:pStyle w:val="Prrafodelista"/>
              <w:spacing w:after="200" w:line="360" w:lineRule="auto"/>
              <w:jc w:val="both"/>
              <w:rPr>
                <w:rFonts w:ascii="Times New Roman" w:hAnsi="Times New Roman" w:cs="Times New Roman"/>
                <w:bCs/>
                <w:iCs/>
                <w:sz w:val="24"/>
                <w:szCs w:val="24"/>
              </w:rPr>
            </w:pPr>
            <w:r>
              <w:rPr>
                <w:rFonts w:ascii="Times New Roman" w:hAnsi="Times New Roman" w:cs="Times New Roman"/>
                <w:bCs/>
                <w:iCs/>
                <w:sz w:val="24"/>
                <w:szCs w:val="24"/>
              </w:rPr>
              <w:t>¿Ha estado privada de su libertad anteriormente?</w:t>
            </w:r>
          </w:p>
          <w:p w14:paraId="5D9F764E" w14:textId="067A51DC" w:rsidR="00E10342" w:rsidRPr="002A4C9C" w:rsidRDefault="00D31DDB" w:rsidP="002A4C9C">
            <w:pPr>
              <w:pStyle w:val="Prrafodelista"/>
              <w:spacing w:after="200" w:line="360" w:lineRule="auto"/>
              <w:jc w:val="both"/>
              <w:rPr>
                <w:rFonts w:ascii="Times New Roman" w:hAnsi="Times New Roman" w:cs="Times New Roman"/>
                <w:bCs/>
                <w:iCs/>
                <w:sz w:val="24"/>
                <w:szCs w:val="24"/>
              </w:rPr>
            </w:pPr>
            <w:r>
              <w:rPr>
                <w:rFonts w:ascii="Times New Roman" w:hAnsi="Times New Roman" w:cs="Times New Roman"/>
                <w:bCs/>
                <w:iCs/>
                <w:sz w:val="24"/>
                <w:szCs w:val="24"/>
              </w:rPr>
              <w:t>¿Ha enfrentado alguna causa penal anteriormente?</w:t>
            </w:r>
          </w:p>
        </w:tc>
        <w:tc>
          <w:tcPr>
            <w:tcW w:w="2983"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98A6FF8" w14:textId="77777777" w:rsidR="00E10342" w:rsidRDefault="00E10342">
            <w:pPr>
              <w:pStyle w:val="Prrafodelista"/>
              <w:spacing w:after="200" w:line="360" w:lineRule="auto"/>
              <w:jc w:val="both"/>
              <w:rPr>
                <w:rFonts w:ascii="Times New Roman" w:hAnsi="Times New Roman" w:cs="Times New Roman"/>
                <w:bCs/>
                <w:sz w:val="24"/>
                <w:szCs w:val="24"/>
              </w:rPr>
            </w:pPr>
          </w:p>
          <w:p w14:paraId="5EF64A91" w14:textId="77777777" w:rsidR="00E10342" w:rsidRDefault="00E10342">
            <w:pPr>
              <w:pStyle w:val="Prrafodelista"/>
              <w:spacing w:after="200" w:line="360" w:lineRule="auto"/>
              <w:jc w:val="both"/>
              <w:rPr>
                <w:rFonts w:ascii="Times New Roman" w:hAnsi="Times New Roman" w:cs="Times New Roman"/>
                <w:bCs/>
                <w:sz w:val="24"/>
                <w:szCs w:val="24"/>
              </w:rPr>
            </w:pPr>
          </w:p>
          <w:p w14:paraId="299795D6" w14:textId="77777777" w:rsidR="00E10342" w:rsidRDefault="00E10342">
            <w:pPr>
              <w:pStyle w:val="Prrafodelista"/>
              <w:spacing w:after="200" w:line="360" w:lineRule="auto"/>
              <w:jc w:val="both"/>
              <w:rPr>
                <w:rFonts w:ascii="Times New Roman" w:hAnsi="Times New Roman" w:cs="Times New Roman"/>
                <w:bCs/>
                <w:sz w:val="24"/>
                <w:szCs w:val="24"/>
              </w:rPr>
            </w:pPr>
          </w:p>
          <w:p w14:paraId="375C0191" w14:textId="77777777" w:rsidR="00E10342" w:rsidRDefault="00E10342">
            <w:pPr>
              <w:pStyle w:val="Prrafodelista"/>
              <w:spacing w:after="200" w:line="360" w:lineRule="auto"/>
              <w:jc w:val="both"/>
              <w:rPr>
                <w:rFonts w:ascii="Times New Roman" w:hAnsi="Times New Roman" w:cs="Times New Roman"/>
                <w:bCs/>
                <w:sz w:val="24"/>
                <w:szCs w:val="24"/>
              </w:rPr>
            </w:pPr>
          </w:p>
          <w:p w14:paraId="5FB4F4CF" w14:textId="77777777" w:rsidR="00E10342" w:rsidRDefault="00E10342">
            <w:pPr>
              <w:pStyle w:val="Prrafodelista"/>
              <w:spacing w:after="200" w:line="360" w:lineRule="auto"/>
              <w:jc w:val="both"/>
              <w:rPr>
                <w:rFonts w:ascii="Times New Roman" w:hAnsi="Times New Roman" w:cs="Times New Roman"/>
                <w:bCs/>
                <w:sz w:val="24"/>
                <w:szCs w:val="24"/>
              </w:rPr>
            </w:pPr>
          </w:p>
          <w:p w14:paraId="3C20A0EF" w14:textId="77777777" w:rsidR="00E10342" w:rsidRDefault="00E10342">
            <w:pPr>
              <w:pStyle w:val="Prrafodelista"/>
              <w:spacing w:after="200" w:line="360" w:lineRule="auto"/>
              <w:jc w:val="both"/>
              <w:rPr>
                <w:rFonts w:ascii="Times New Roman" w:hAnsi="Times New Roman" w:cs="Times New Roman"/>
                <w:bCs/>
                <w:sz w:val="24"/>
                <w:szCs w:val="24"/>
              </w:rPr>
            </w:pPr>
          </w:p>
        </w:tc>
      </w:tr>
      <w:tr w:rsidR="00E10342" w14:paraId="7687FC17" w14:textId="77777777" w:rsidTr="002A4C9C">
        <w:trPr>
          <w:trHeight w:val="88"/>
        </w:trPr>
        <w:tc>
          <w:tcPr>
            <w:tcW w:w="8892" w:type="dxa"/>
            <w:gridSpan w:val="4"/>
            <w:tcBorders>
              <w:top w:val="single" w:sz="4" w:space="0" w:color="00000A"/>
              <w:left w:val="single" w:sz="4" w:space="0" w:color="00000A"/>
              <w:bottom w:val="single" w:sz="4" w:space="0" w:color="00000A"/>
              <w:right w:val="single" w:sz="4" w:space="0" w:color="00000A"/>
            </w:tcBorders>
            <w:shd w:val="clear" w:color="auto" w:fill="BDD6EE"/>
            <w:tcMar>
              <w:top w:w="0" w:type="dxa"/>
              <w:left w:w="108" w:type="dxa"/>
              <w:bottom w:w="0" w:type="dxa"/>
              <w:right w:w="108" w:type="dxa"/>
            </w:tcMar>
          </w:tcPr>
          <w:p w14:paraId="624EDC19" w14:textId="77777777" w:rsidR="00E10342" w:rsidRDefault="00D31DDB">
            <w:pPr>
              <w:pStyle w:val="Prrafodelista"/>
              <w:spacing w:after="200" w:line="360" w:lineRule="auto"/>
              <w:jc w:val="both"/>
              <w:rPr>
                <w:rFonts w:ascii="Times New Roman" w:hAnsi="Times New Roman" w:cs="Times New Roman"/>
                <w:b/>
                <w:bCs/>
                <w:sz w:val="24"/>
                <w:szCs w:val="24"/>
              </w:rPr>
            </w:pPr>
            <w:r>
              <w:rPr>
                <w:rFonts w:ascii="Times New Roman" w:hAnsi="Times New Roman" w:cs="Times New Roman"/>
                <w:b/>
                <w:bCs/>
                <w:sz w:val="24"/>
                <w:szCs w:val="24"/>
              </w:rPr>
              <w:t>III PARTE: Causas de Vulnerabilidad</w:t>
            </w:r>
          </w:p>
        </w:tc>
        <w:tc>
          <w:tcPr>
            <w:tcW w:w="40" w:type="dxa"/>
          </w:tcPr>
          <w:p w14:paraId="065E9BB4" w14:textId="77777777" w:rsidR="00E10342" w:rsidRDefault="00E10342">
            <w:pPr>
              <w:pStyle w:val="Standard"/>
            </w:pPr>
          </w:p>
        </w:tc>
      </w:tr>
      <w:tr w:rsidR="00E10342" w14:paraId="589830F0" w14:textId="77777777" w:rsidTr="002A4C9C">
        <w:trPr>
          <w:gridAfter w:val="1"/>
          <w:wAfter w:w="40" w:type="dxa"/>
          <w:trHeight w:val="1550"/>
        </w:trPr>
        <w:tc>
          <w:tcPr>
            <w:tcW w:w="57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9DEE4EE" w14:textId="77777777" w:rsidR="00E10342" w:rsidRDefault="00E10342">
            <w:pPr>
              <w:pStyle w:val="Prrafodelista"/>
              <w:spacing w:after="200" w:line="360" w:lineRule="auto"/>
              <w:jc w:val="both"/>
              <w:rPr>
                <w:rFonts w:ascii="Times New Roman" w:hAnsi="Times New Roman" w:cs="Times New Roman"/>
                <w:bCs/>
                <w:sz w:val="24"/>
                <w:szCs w:val="24"/>
              </w:rPr>
            </w:pPr>
          </w:p>
          <w:p w14:paraId="570171ED" w14:textId="77777777" w:rsidR="00E10342" w:rsidRDefault="00E10342">
            <w:pPr>
              <w:pStyle w:val="Prrafodelista"/>
              <w:spacing w:after="200" w:line="360" w:lineRule="auto"/>
              <w:jc w:val="both"/>
              <w:rPr>
                <w:rFonts w:ascii="Times New Roman" w:hAnsi="Times New Roman" w:cs="Times New Roman"/>
                <w:bCs/>
                <w:sz w:val="24"/>
                <w:szCs w:val="24"/>
              </w:rPr>
            </w:pPr>
          </w:p>
        </w:tc>
        <w:tc>
          <w:tcPr>
            <w:tcW w:w="3158" w:type="dxa"/>
            <w:gridSpan w:val="3"/>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D7C676A" w14:textId="77777777" w:rsidR="00E10342" w:rsidRDefault="00D31DDB">
            <w:pPr>
              <w:pStyle w:val="Prrafodelista"/>
              <w:spacing w:after="200" w:line="360" w:lineRule="auto"/>
              <w:jc w:val="both"/>
              <w:rPr>
                <w:rFonts w:ascii="Times New Roman" w:hAnsi="Times New Roman" w:cs="Times New Roman"/>
                <w:b/>
                <w:bCs/>
                <w:sz w:val="24"/>
                <w:szCs w:val="24"/>
              </w:rPr>
            </w:pPr>
            <w:r>
              <w:rPr>
                <w:rFonts w:ascii="Times New Roman" w:hAnsi="Times New Roman" w:cs="Times New Roman"/>
                <w:b/>
                <w:bCs/>
                <w:sz w:val="24"/>
                <w:szCs w:val="24"/>
              </w:rPr>
              <w:t>Observaciones</w:t>
            </w:r>
          </w:p>
        </w:tc>
      </w:tr>
      <w:tr w:rsidR="00E10342" w14:paraId="1EAD0C30" w14:textId="77777777" w:rsidTr="002A4C9C">
        <w:trPr>
          <w:trHeight w:val="2583"/>
        </w:trPr>
        <w:tc>
          <w:tcPr>
            <w:tcW w:w="8892" w:type="dxa"/>
            <w:gridSpan w:val="4"/>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19A4286" w14:textId="77777777" w:rsidR="00E10342" w:rsidRDefault="00D31DDB">
            <w:pPr>
              <w:pStyle w:val="Prrafodelista"/>
              <w:spacing w:after="200" w:line="360" w:lineRule="auto"/>
              <w:jc w:val="both"/>
              <w:rPr>
                <w:rFonts w:ascii="Times New Roman" w:hAnsi="Times New Roman" w:cs="Times New Roman"/>
                <w:b/>
                <w:bCs/>
                <w:sz w:val="24"/>
                <w:szCs w:val="24"/>
              </w:rPr>
            </w:pPr>
            <w:r>
              <w:rPr>
                <w:rFonts w:ascii="Times New Roman" w:hAnsi="Times New Roman" w:cs="Times New Roman"/>
                <w:b/>
                <w:bCs/>
                <w:sz w:val="24"/>
                <w:szCs w:val="24"/>
              </w:rPr>
              <w:t>OTRAS OBSERVACIONES:</w:t>
            </w:r>
          </w:p>
        </w:tc>
        <w:tc>
          <w:tcPr>
            <w:tcW w:w="40" w:type="dxa"/>
          </w:tcPr>
          <w:p w14:paraId="75F6F8A0" w14:textId="77777777" w:rsidR="00E10342" w:rsidRDefault="00E10342">
            <w:pPr>
              <w:pStyle w:val="Standard"/>
            </w:pPr>
          </w:p>
        </w:tc>
      </w:tr>
    </w:tbl>
    <w:p w14:paraId="3060E9AA" w14:textId="77777777" w:rsidR="00E10342" w:rsidRDefault="00E10342">
      <w:pPr>
        <w:pStyle w:val="Piedepgina"/>
        <w:sectPr w:rsidR="00E10342" w:rsidSect="007C0BE3">
          <w:pgSz w:w="12240" w:h="15840"/>
          <w:pgMar w:top="1418" w:right="1418" w:bottom="1418" w:left="1418" w:header="709" w:footer="709" w:gutter="680"/>
          <w:cols w:space="720"/>
        </w:sectPr>
      </w:pPr>
    </w:p>
    <w:p w14:paraId="0647653A" w14:textId="3E9EFB06" w:rsidR="00E10342" w:rsidRPr="002A4C9C" w:rsidRDefault="00D31DDB" w:rsidP="002A4C9C">
      <w:pPr>
        <w:pStyle w:val="Ttulo2"/>
      </w:pPr>
      <w:bookmarkStart w:id="415" w:name="__RefHeading__27529_1894434827"/>
      <w:bookmarkStart w:id="416" w:name="_Toc61277023"/>
      <w:bookmarkStart w:id="417" w:name="_Toc62463373"/>
      <w:bookmarkStart w:id="418" w:name="_Toc62476115"/>
      <w:bookmarkStart w:id="419" w:name="_Toc62476321"/>
      <w:bookmarkStart w:id="420" w:name="_Toc63688987"/>
      <w:r w:rsidRPr="002A4C9C">
        <w:lastRenderedPageBreak/>
        <w:t>Anexo 2</w:t>
      </w:r>
      <w:bookmarkEnd w:id="415"/>
      <w:bookmarkEnd w:id="416"/>
      <w:bookmarkEnd w:id="417"/>
      <w:r w:rsidR="002A4C9C" w:rsidRPr="002A4C9C">
        <w:t>.</w:t>
      </w:r>
      <w:bookmarkStart w:id="421" w:name="__RefHeading__27531_1894434827"/>
      <w:bookmarkStart w:id="422" w:name="_Toc61277024"/>
      <w:bookmarkStart w:id="423" w:name="_Toc62463374"/>
      <w:r w:rsidR="002A4C9C" w:rsidRPr="002A4C9C">
        <w:t xml:space="preserve"> </w:t>
      </w:r>
      <w:r w:rsidRPr="002A4C9C">
        <w:t>Entrevista semi estructurada</w:t>
      </w:r>
      <w:bookmarkEnd w:id="418"/>
      <w:bookmarkEnd w:id="419"/>
      <w:bookmarkEnd w:id="420"/>
      <w:bookmarkEnd w:id="421"/>
      <w:bookmarkEnd w:id="422"/>
      <w:bookmarkEnd w:id="423"/>
    </w:p>
    <w:p w14:paraId="1B02C8B1" w14:textId="7410EF04" w:rsidR="00E10342" w:rsidRDefault="00D31DDB" w:rsidP="002A4C9C">
      <w:pPr>
        <w:pStyle w:val="Prrafodelista"/>
        <w:spacing w:after="0" w:line="36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Esta técnica se pretende recolectar la información para la propuesta de investigación a través de las experiencias en la tramitación judicial y el abordaje psico-social en cuanto a la vulnerabilidad que presentan las mujeres adultas entre los 27 a 35 años víctimas de violencia, tratando de comprender el fenómeno de estudio desde su experiencia y las resignificaciones que estos le dan.</w:t>
      </w:r>
    </w:p>
    <w:p w14:paraId="54D9F6C1" w14:textId="6050326B" w:rsidR="00E10342" w:rsidRDefault="00D31DDB">
      <w:pPr>
        <w:pStyle w:val="Prrafodelista"/>
        <w:spacing w:after="200" w:line="360" w:lineRule="auto"/>
        <w:ind w:left="0"/>
        <w:jc w:val="both"/>
      </w:pPr>
      <w:r>
        <w:rPr>
          <w:rFonts w:ascii="Times New Roman" w:hAnsi="Times New Roman" w:cs="Times New Roman"/>
          <w:b/>
          <w:bCs/>
          <w:sz w:val="24"/>
          <w:szCs w:val="24"/>
        </w:rPr>
        <w:t>CONSENTIMIENTO INFORMADO:</w:t>
      </w:r>
      <w:r>
        <w:rPr>
          <w:rFonts w:ascii="Times New Roman" w:hAnsi="Times New Roman" w:cs="Times New Roman"/>
          <w:bCs/>
          <w:sz w:val="24"/>
          <w:szCs w:val="24"/>
        </w:rPr>
        <w:t xml:space="preserve"> Se le ha informado a la persona</w:t>
      </w:r>
      <w:r w:rsidR="005F159A">
        <w:rPr>
          <w:rFonts w:ascii="Times New Roman" w:hAnsi="Times New Roman" w:cs="Times New Roman"/>
          <w:bCs/>
          <w:sz w:val="24"/>
          <w:szCs w:val="24"/>
        </w:rPr>
        <w:t xml:space="preserve"> </w:t>
      </w:r>
      <w:r>
        <w:rPr>
          <w:rFonts w:ascii="Times New Roman" w:hAnsi="Times New Roman" w:cs="Times New Roman"/>
          <w:bCs/>
          <w:sz w:val="24"/>
          <w:szCs w:val="24"/>
        </w:rPr>
        <w:t>entrevistada sobre los alcances de la entrevista que es para el</w:t>
      </w:r>
      <w:r w:rsidR="005F159A">
        <w:rPr>
          <w:rFonts w:ascii="Times New Roman" w:hAnsi="Times New Roman" w:cs="Times New Roman"/>
          <w:bCs/>
          <w:sz w:val="24"/>
          <w:szCs w:val="24"/>
        </w:rPr>
        <w:t xml:space="preserve"> </w:t>
      </w:r>
      <w:r>
        <w:rPr>
          <w:rFonts w:ascii="Times New Roman" w:hAnsi="Times New Roman" w:cs="Times New Roman"/>
          <w:bCs/>
          <w:sz w:val="24"/>
          <w:szCs w:val="24"/>
        </w:rPr>
        <w:t>TFG titulado</w:t>
      </w:r>
      <w:r w:rsidR="005F159A">
        <w:rPr>
          <w:rFonts w:ascii="Times New Roman" w:hAnsi="Times New Roman" w:cs="Times New Roman"/>
          <w:bCs/>
          <w:sz w:val="24"/>
          <w:szCs w:val="24"/>
        </w:rPr>
        <w:t xml:space="preserve"> </w:t>
      </w:r>
      <w:r>
        <w:rPr>
          <w:rFonts w:ascii="Times New Roman" w:hAnsi="Times New Roman" w:cs="Times New Roman"/>
          <w:bCs/>
          <w:sz w:val="24"/>
          <w:szCs w:val="24"/>
        </w:rPr>
        <w:t>“Vulnerabilidades cognitivas en mujeres víctimas de violencia doméstica con edades comprendidas entre los veintisiete y los treinta y cinco años, sujetas a atención por parte del Juzgado contra la violencia doméstica II Circuito Judicial de San José, en el período 2018-2019”, en el programa de Maestría en Administración de Justicia, impartido en la UNA en convenio con el Poder Judicial. También se les ha explicado el propósito de la entrevista que es meramente académica y que se realiza bajo plena observación del secreto profesional. Finalmente, se les ha explicado el carácter de voluntariedad de la entrevista y que tienen el derecho a rehusarse. A todo lo anterior, la persona entrevistada mostró comprender los alcances del consentimiento informado</w:t>
      </w:r>
    </w:p>
    <w:p w14:paraId="44138E81" w14:textId="7777777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Nombre completo: ______________________</w:t>
      </w:r>
    </w:p>
    <w:p w14:paraId="3D4ED543" w14:textId="7777777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Escolaridad o grado académico: ____________________</w:t>
      </w:r>
    </w:p>
    <w:p w14:paraId="1458427C" w14:textId="7777777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Tiempo de incorporado al colegio profesional: _____________</w:t>
      </w:r>
    </w:p>
    <w:p w14:paraId="18FB4C0B" w14:textId="7777777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Funcionario en propiedad o interino: _____________</w:t>
      </w:r>
    </w:p>
    <w:p w14:paraId="5E5C01F8" w14:textId="7A891E78"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Años laborados en el puesto profesional: _____________</w:t>
      </w:r>
    </w:p>
    <w:p w14:paraId="0AC45FF6" w14:textId="77777777" w:rsidR="00E10342" w:rsidRDefault="00D31DDB">
      <w:pPr>
        <w:pStyle w:val="Prrafodelista"/>
        <w:numPr>
          <w:ilvl w:val="1"/>
          <w:numId w:val="10"/>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t>¿Cómo define las habilidades cognitivas?</w:t>
      </w:r>
    </w:p>
    <w:p w14:paraId="2952BAF3" w14:textId="018F890B" w:rsidR="00E10342" w:rsidRDefault="00D31DDB" w:rsidP="002A4C9C">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w:t>
      </w:r>
      <w:proofErr w:type="gramStart"/>
      <w:r>
        <w:rPr>
          <w:rFonts w:ascii="Times New Roman" w:hAnsi="Times New Roman" w:cs="Times New Roman"/>
          <w:bCs/>
          <w:sz w:val="24"/>
          <w:szCs w:val="24"/>
        </w:rPr>
        <w:t>_¿</w:t>
      </w:r>
      <w:proofErr w:type="gramEnd"/>
      <w:r>
        <w:rPr>
          <w:rFonts w:ascii="Times New Roman" w:hAnsi="Times New Roman" w:cs="Times New Roman"/>
          <w:bCs/>
          <w:sz w:val="24"/>
          <w:szCs w:val="24"/>
        </w:rPr>
        <w:t>Cuáles son los aspectos que contemplan?</w:t>
      </w:r>
    </w:p>
    <w:p w14:paraId="65DAC5A1" w14:textId="5A1AB024"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w:t>
      </w:r>
      <w:r w:rsidR="002A4C9C">
        <w:rPr>
          <w:rFonts w:ascii="Times New Roman" w:hAnsi="Times New Roman" w:cs="Times New Roman"/>
          <w:bCs/>
          <w:sz w:val="24"/>
          <w:szCs w:val="24"/>
        </w:rPr>
        <w:t>____</w:t>
      </w:r>
      <w:r>
        <w:rPr>
          <w:rFonts w:ascii="Times New Roman" w:hAnsi="Times New Roman" w:cs="Times New Roman"/>
          <w:bCs/>
          <w:sz w:val="24"/>
          <w:szCs w:val="24"/>
        </w:rPr>
        <w:t>______________________________________________</w:t>
      </w:r>
    </w:p>
    <w:p w14:paraId="4CE43117" w14:textId="77777777" w:rsidR="002A4C9C" w:rsidRDefault="002A4C9C">
      <w:pPr>
        <w:pStyle w:val="Prrafodelista"/>
        <w:spacing w:after="200"/>
        <w:ind w:left="0"/>
        <w:rPr>
          <w:rFonts w:ascii="Times New Roman" w:hAnsi="Times New Roman" w:cs="Times New Roman"/>
          <w:bCs/>
          <w:sz w:val="24"/>
          <w:szCs w:val="24"/>
        </w:rPr>
      </w:pPr>
    </w:p>
    <w:p w14:paraId="7099D07B" w14:textId="77777777" w:rsidR="00E10342" w:rsidRDefault="00D31DDB">
      <w:pPr>
        <w:pStyle w:val="Prrafodelista"/>
        <w:numPr>
          <w:ilvl w:val="0"/>
          <w:numId w:val="41"/>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lastRenderedPageBreak/>
        <w:t>Le resulta útil y/o necesario el conocimiento al momento de abordar presuntas o víctimas de violencia intrafamiliar</w:t>
      </w:r>
    </w:p>
    <w:p w14:paraId="57DFED94" w14:textId="7777777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 xml:space="preserve">Si </w:t>
      </w:r>
      <w:proofErr w:type="gramStart"/>
      <w:r>
        <w:rPr>
          <w:rFonts w:ascii="Times New Roman" w:hAnsi="Times New Roman" w:cs="Times New Roman"/>
          <w:bCs/>
          <w:sz w:val="24"/>
          <w:szCs w:val="24"/>
        </w:rPr>
        <w:t>( )</w:t>
      </w:r>
      <w:proofErr w:type="gramEnd"/>
    </w:p>
    <w:p w14:paraId="44AA1A03" w14:textId="7777777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 xml:space="preserve">No </w:t>
      </w:r>
      <w:proofErr w:type="gramStart"/>
      <w:r>
        <w:rPr>
          <w:rFonts w:ascii="Times New Roman" w:hAnsi="Times New Roman" w:cs="Times New Roman"/>
          <w:bCs/>
          <w:sz w:val="24"/>
          <w:szCs w:val="24"/>
        </w:rPr>
        <w:t>( )</w:t>
      </w:r>
      <w:proofErr w:type="gramEnd"/>
    </w:p>
    <w:p w14:paraId="4CB4B75C" w14:textId="7777777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¿Por qué?</w:t>
      </w:r>
    </w:p>
    <w:p w14:paraId="0000F8BD" w14:textId="0275F27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405319CA" w14:textId="77777777" w:rsidR="00E10342" w:rsidRDefault="00D31DDB">
      <w:pPr>
        <w:pStyle w:val="Prrafodelista"/>
        <w:numPr>
          <w:ilvl w:val="0"/>
          <w:numId w:val="11"/>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t>¿Considera usted que las habilidades cognitivas pueden ser alteradas de alguna forma?</w:t>
      </w:r>
    </w:p>
    <w:p w14:paraId="4F113DE3" w14:textId="3CA56E9A"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63801D8E" w14:textId="77777777" w:rsidR="00E10342" w:rsidRDefault="00D31DDB">
      <w:pPr>
        <w:pStyle w:val="Prrafodelista"/>
        <w:numPr>
          <w:ilvl w:val="0"/>
          <w:numId w:val="11"/>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t xml:space="preserve"> ¿Considera usted que las habilidades cognitivas pueden ser alteradas ante una situación de violencia intrafamiliar? Explique</w:t>
      </w:r>
    </w:p>
    <w:p w14:paraId="63A1B8A4" w14:textId="4E43E45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4E355C58" w14:textId="77777777" w:rsidR="00E10342" w:rsidRDefault="00D31DDB">
      <w:pPr>
        <w:pStyle w:val="Prrafodelista"/>
        <w:numPr>
          <w:ilvl w:val="0"/>
          <w:numId w:val="11"/>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t>¿Conoce usted el proceso de detección de las vulnerabilidades cognitivas?</w:t>
      </w:r>
    </w:p>
    <w:p w14:paraId="702483F7" w14:textId="787D91BB"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43E79F6E" w14:textId="77777777" w:rsidR="00E10342" w:rsidRDefault="00D31DDB">
      <w:pPr>
        <w:pStyle w:val="Prrafodelista"/>
        <w:numPr>
          <w:ilvl w:val="0"/>
          <w:numId w:val="11"/>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t>¿Usted ha detectado relatos de víctimas de violencia intrafamiliar con habilidades cognitivas vulneradas?</w:t>
      </w:r>
    </w:p>
    <w:p w14:paraId="27DC0CD0" w14:textId="0D6CF84C"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3FE456D6" w14:textId="77777777" w:rsidR="00E10342" w:rsidRDefault="00D31DDB">
      <w:pPr>
        <w:pStyle w:val="Prrafodelista"/>
        <w:numPr>
          <w:ilvl w:val="0"/>
          <w:numId w:val="11"/>
        </w:numPr>
        <w:spacing w:after="200" w:line="360"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¿En qué etapa del proceso ha detectado víctimas de violencia intrafamiliar con habilidades cognitivas vulneradas?</w:t>
      </w:r>
    </w:p>
    <w:p w14:paraId="35E43053" w14:textId="0A62E1DE"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4C986E05" w14:textId="77777777" w:rsidR="00E10342" w:rsidRDefault="00D31DDB">
      <w:pPr>
        <w:pStyle w:val="Prrafodelista"/>
        <w:numPr>
          <w:ilvl w:val="0"/>
          <w:numId w:val="11"/>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t>Ha detectado si la vulnerabilidad cognitiva se presenta en mayor grado en algún grupo etario de mujeres y de qué edad y además qué tipos de vulnerabilidad prevalece.</w:t>
      </w:r>
    </w:p>
    <w:p w14:paraId="0EC1A5C3" w14:textId="55E9AC10"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3600EB8E" w14:textId="77777777" w:rsidR="00E10342" w:rsidRDefault="00D31DDB">
      <w:pPr>
        <w:pStyle w:val="Prrafodelista"/>
        <w:numPr>
          <w:ilvl w:val="0"/>
          <w:numId w:val="11"/>
        </w:numPr>
        <w:spacing w:after="200" w:line="360"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Conoce la existencia de algún protocolo en la institución que aborde a las víctimas de violencia intrafamiliar con relación aborde la vulnerabilidad cognitiva.</w:t>
      </w:r>
    </w:p>
    <w:p w14:paraId="5C596586" w14:textId="7E94F1D0" w:rsidR="00E10342" w:rsidRDefault="00D31DDB" w:rsidP="002A4C9C">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6C98B5B2" w14:textId="77777777" w:rsidR="00E10342" w:rsidRDefault="00D31DDB">
      <w:pPr>
        <w:pStyle w:val="Prrafodelista"/>
        <w:numPr>
          <w:ilvl w:val="0"/>
          <w:numId w:val="11"/>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t>¿En qué momento se aplican los protocolos?</w:t>
      </w:r>
    </w:p>
    <w:p w14:paraId="397F5CB5" w14:textId="62CC4EC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66146D15" w14:textId="77777777" w:rsidR="00E10342" w:rsidRDefault="00D31DDB">
      <w:pPr>
        <w:pStyle w:val="Prrafodelista"/>
        <w:numPr>
          <w:ilvl w:val="0"/>
          <w:numId w:val="11"/>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t>¿Los protocolos contemplan a la vulnerabilidad cognitiva en su abordaje? De qué manera</w:t>
      </w:r>
    </w:p>
    <w:p w14:paraId="38A9BCF5" w14:textId="691C83E4"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62C2E648" w14:textId="6C25AE9E" w:rsidR="00E10342" w:rsidRDefault="00D31DDB">
      <w:pPr>
        <w:pStyle w:val="Prrafodelista"/>
        <w:numPr>
          <w:ilvl w:val="0"/>
          <w:numId w:val="11"/>
        </w:numPr>
        <w:spacing w:after="200"/>
        <w:ind w:left="0" w:firstLine="0"/>
        <w:rPr>
          <w:rFonts w:ascii="Times New Roman" w:hAnsi="Times New Roman" w:cs="Times New Roman"/>
          <w:bCs/>
          <w:sz w:val="24"/>
          <w:szCs w:val="24"/>
        </w:rPr>
      </w:pPr>
      <w:r>
        <w:rPr>
          <w:rFonts w:ascii="Times New Roman" w:hAnsi="Times New Roman" w:cs="Times New Roman"/>
          <w:bCs/>
          <w:sz w:val="24"/>
          <w:szCs w:val="24"/>
        </w:rPr>
        <w:t>¿Qué efectos podrían ocasionar en las víctimas de violencia intrafamiliar de no detectarse a tiempo la vulnerabilidad cognitiva?</w:t>
      </w:r>
    </w:p>
    <w:p w14:paraId="6A094BD8" w14:textId="4BFD2677"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01AF88B2" w14:textId="77777777" w:rsidR="00E10342" w:rsidRDefault="00D31DDB">
      <w:pPr>
        <w:pStyle w:val="Prrafodelista"/>
        <w:numPr>
          <w:ilvl w:val="0"/>
          <w:numId w:val="11"/>
        </w:numPr>
        <w:spacing w:after="200"/>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¿Considera que existe riesgo de </w:t>
      </w:r>
      <w:proofErr w:type="gramStart"/>
      <w:r>
        <w:rPr>
          <w:rFonts w:ascii="Times New Roman" w:hAnsi="Times New Roman" w:cs="Times New Roman"/>
          <w:bCs/>
          <w:sz w:val="24"/>
          <w:szCs w:val="24"/>
        </w:rPr>
        <w:t>re victimización</w:t>
      </w:r>
      <w:proofErr w:type="gramEnd"/>
      <w:r>
        <w:rPr>
          <w:rFonts w:ascii="Times New Roman" w:hAnsi="Times New Roman" w:cs="Times New Roman"/>
          <w:bCs/>
          <w:sz w:val="24"/>
          <w:szCs w:val="24"/>
        </w:rPr>
        <w:t xml:space="preserve"> institucional de no abordarse adecuadamente la vulnerabilidad cognitiva?</w:t>
      </w:r>
    </w:p>
    <w:p w14:paraId="461BC55E" w14:textId="6F1C2963" w:rsidR="00E10342" w:rsidRDefault="00D31DDB">
      <w:pPr>
        <w:pStyle w:val="Prrafodelista"/>
        <w:spacing w:after="200"/>
        <w:ind w:left="0"/>
        <w:rPr>
          <w:rFonts w:ascii="Times New Roman" w:hAnsi="Times New Roman" w:cs="Times New Roman"/>
          <w:bCs/>
          <w:sz w:val="24"/>
          <w:szCs w:val="24"/>
        </w:rPr>
      </w:pPr>
      <w:r>
        <w:rPr>
          <w:rFonts w:ascii="Times New Roman" w:hAnsi="Times New Roman" w:cs="Times New Roman"/>
          <w:bCs/>
          <w:sz w:val="24"/>
          <w:szCs w:val="24"/>
        </w:rPr>
        <w:t>________________________________________________________________________________________________________________________________________________</w:t>
      </w:r>
    </w:p>
    <w:p w14:paraId="326F838A" w14:textId="77777777" w:rsidR="00E10342" w:rsidRDefault="00E10342">
      <w:pPr>
        <w:pStyle w:val="Prrafodelista"/>
        <w:spacing w:after="200"/>
        <w:rPr>
          <w:rFonts w:ascii="Times New Roman" w:hAnsi="Times New Roman" w:cs="Times New Roman"/>
          <w:bCs/>
          <w:sz w:val="24"/>
          <w:szCs w:val="24"/>
        </w:rPr>
      </w:pPr>
    </w:p>
    <w:p w14:paraId="7B160E2F" w14:textId="77777777" w:rsidR="00E10342" w:rsidRDefault="00E10342">
      <w:pPr>
        <w:pStyle w:val="Prrafodelista"/>
        <w:spacing w:after="200"/>
        <w:rPr>
          <w:rFonts w:ascii="Times New Roman" w:hAnsi="Times New Roman" w:cs="Times New Roman"/>
          <w:bCs/>
          <w:sz w:val="24"/>
          <w:szCs w:val="24"/>
        </w:rPr>
      </w:pPr>
    </w:p>
    <w:p w14:paraId="2FD919BE" w14:textId="77777777" w:rsidR="00F95D46" w:rsidRDefault="00F95D46" w:rsidP="002A4C9C">
      <w:pPr>
        <w:pStyle w:val="Ttulo2"/>
        <w:sectPr w:rsidR="00F95D46" w:rsidSect="00C921E1">
          <w:footerReference w:type="default" r:id="rId78"/>
          <w:pgSz w:w="12240" w:h="15840"/>
          <w:pgMar w:top="1418" w:right="1418" w:bottom="1418" w:left="1418" w:header="709" w:footer="709" w:gutter="680"/>
          <w:cols w:space="720"/>
        </w:sectPr>
      </w:pPr>
      <w:bookmarkStart w:id="424" w:name="__RefHeading__27533_1894434827"/>
      <w:bookmarkStart w:id="425" w:name="_Toc61277025"/>
      <w:bookmarkStart w:id="426" w:name="_Toc62463375"/>
    </w:p>
    <w:p w14:paraId="5648F0C9" w14:textId="19AA284F" w:rsidR="00E10342" w:rsidRPr="002A4C9C" w:rsidRDefault="00D31DDB" w:rsidP="002A4C9C">
      <w:pPr>
        <w:pStyle w:val="Ttulo2"/>
      </w:pPr>
      <w:bookmarkStart w:id="427" w:name="_Toc62476116"/>
      <w:bookmarkStart w:id="428" w:name="_Toc62476322"/>
      <w:bookmarkStart w:id="429" w:name="_Toc63688988"/>
      <w:r w:rsidRPr="002A4C9C">
        <w:lastRenderedPageBreak/>
        <w:t>Anexo 3</w:t>
      </w:r>
      <w:bookmarkEnd w:id="424"/>
      <w:bookmarkEnd w:id="425"/>
      <w:bookmarkEnd w:id="426"/>
      <w:r w:rsidR="002A4C9C" w:rsidRPr="002A4C9C">
        <w:t xml:space="preserve">. </w:t>
      </w:r>
      <w:bookmarkStart w:id="430" w:name="__RefHeading__27535_1894434827"/>
      <w:bookmarkStart w:id="431" w:name="_Toc61277026"/>
      <w:bookmarkStart w:id="432" w:name="_Toc62463376"/>
      <w:r w:rsidRPr="002A4C9C">
        <w:t>Matriz de análisis bibliográfico</w:t>
      </w:r>
      <w:bookmarkEnd w:id="427"/>
      <w:bookmarkEnd w:id="428"/>
      <w:bookmarkEnd w:id="429"/>
      <w:bookmarkEnd w:id="430"/>
      <w:bookmarkEnd w:id="431"/>
      <w:bookmarkEnd w:id="432"/>
    </w:p>
    <w:tbl>
      <w:tblPr>
        <w:tblStyle w:val="Tablaconcuadrcula5oscura-nfasis1"/>
        <w:tblW w:w="9348" w:type="dxa"/>
        <w:tblLayout w:type="fixed"/>
        <w:tblLook w:val="04A0" w:firstRow="1" w:lastRow="0" w:firstColumn="1" w:lastColumn="0" w:noHBand="0" w:noVBand="1"/>
      </w:tblPr>
      <w:tblGrid>
        <w:gridCol w:w="1843"/>
        <w:gridCol w:w="2268"/>
        <w:gridCol w:w="2125"/>
        <w:gridCol w:w="1556"/>
        <w:gridCol w:w="1556"/>
      </w:tblGrid>
      <w:tr w:rsidR="00E10342" w14:paraId="2400D7ED" w14:textId="77777777" w:rsidTr="00F829F4">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843" w:type="dxa"/>
          </w:tcPr>
          <w:p w14:paraId="474A281C" w14:textId="77777777" w:rsidR="00E10342" w:rsidRPr="00F829F4" w:rsidRDefault="00D31DDB">
            <w:pPr>
              <w:pStyle w:val="Prrafodelista"/>
              <w:spacing w:after="200" w:line="360" w:lineRule="auto"/>
              <w:ind w:left="0"/>
              <w:jc w:val="both"/>
              <w:rPr>
                <w:rFonts w:ascii="Times New Roman" w:hAnsi="Times New Roman" w:cs="Times New Roman"/>
                <w:color w:val="605E5C"/>
                <w:sz w:val="16"/>
                <w:szCs w:val="24"/>
              </w:rPr>
            </w:pPr>
            <w:r w:rsidRPr="00F829F4">
              <w:rPr>
                <w:rFonts w:ascii="Times New Roman" w:hAnsi="Times New Roman" w:cs="Times New Roman"/>
                <w:color w:val="605E5C"/>
                <w:sz w:val="16"/>
                <w:szCs w:val="24"/>
              </w:rPr>
              <w:t>TIPO DE REFERENCIA</w:t>
            </w:r>
          </w:p>
        </w:tc>
        <w:tc>
          <w:tcPr>
            <w:tcW w:w="2268" w:type="dxa"/>
          </w:tcPr>
          <w:p w14:paraId="02F192E4" w14:textId="77777777" w:rsidR="00E10342" w:rsidRPr="00F829F4" w:rsidRDefault="00D31DDB">
            <w:pPr>
              <w:pStyle w:val="Prrafodelista"/>
              <w:spacing w:after="200"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605E5C"/>
                <w:sz w:val="16"/>
                <w:szCs w:val="24"/>
              </w:rPr>
            </w:pPr>
            <w:r w:rsidRPr="00F829F4">
              <w:rPr>
                <w:rFonts w:ascii="Times New Roman" w:hAnsi="Times New Roman" w:cs="Times New Roman"/>
                <w:color w:val="605E5C"/>
                <w:sz w:val="16"/>
                <w:szCs w:val="24"/>
              </w:rPr>
              <w:t>REFERENCIA DE NORMAS APA</w:t>
            </w:r>
          </w:p>
        </w:tc>
        <w:tc>
          <w:tcPr>
            <w:tcW w:w="2125" w:type="dxa"/>
          </w:tcPr>
          <w:p w14:paraId="089CEAB5" w14:textId="77777777" w:rsidR="00E10342" w:rsidRPr="00F829F4" w:rsidRDefault="00D31DDB">
            <w:pPr>
              <w:pStyle w:val="Prrafodelista"/>
              <w:spacing w:after="200" w:line="360" w:lineRule="auto"/>
              <w:ind w:left="36"/>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605E5C"/>
                <w:sz w:val="16"/>
                <w:szCs w:val="24"/>
              </w:rPr>
            </w:pPr>
            <w:r w:rsidRPr="00F829F4">
              <w:rPr>
                <w:rFonts w:ascii="Times New Roman" w:hAnsi="Times New Roman" w:cs="Times New Roman"/>
                <w:color w:val="605E5C"/>
                <w:sz w:val="16"/>
                <w:szCs w:val="24"/>
              </w:rPr>
              <w:t>LINEA DE PENSAMINETO TEORICO</w:t>
            </w:r>
          </w:p>
        </w:tc>
        <w:tc>
          <w:tcPr>
            <w:tcW w:w="1556" w:type="dxa"/>
          </w:tcPr>
          <w:p w14:paraId="06E4C5E0" w14:textId="77777777" w:rsidR="00E10342" w:rsidRPr="00F829F4" w:rsidRDefault="00D31DDB">
            <w:pPr>
              <w:pStyle w:val="Prrafodelista"/>
              <w:spacing w:after="200" w:line="360" w:lineRule="auto"/>
              <w:ind w:left="32"/>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605E5C"/>
                <w:sz w:val="16"/>
                <w:szCs w:val="24"/>
              </w:rPr>
            </w:pPr>
            <w:r w:rsidRPr="00F829F4">
              <w:rPr>
                <w:rFonts w:ascii="Times New Roman" w:hAnsi="Times New Roman" w:cs="Times New Roman"/>
                <w:color w:val="605E5C"/>
                <w:sz w:val="16"/>
                <w:szCs w:val="24"/>
              </w:rPr>
              <w:t>PERSPECTIVA METODOLOGICA</w:t>
            </w:r>
          </w:p>
        </w:tc>
        <w:tc>
          <w:tcPr>
            <w:tcW w:w="1556" w:type="dxa"/>
          </w:tcPr>
          <w:p w14:paraId="1187DB9D" w14:textId="77777777" w:rsidR="00E10342" w:rsidRPr="00F829F4" w:rsidRDefault="00D31DDB">
            <w:pPr>
              <w:pStyle w:val="Prrafodelista"/>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605E5C"/>
                <w:sz w:val="16"/>
                <w:szCs w:val="24"/>
              </w:rPr>
            </w:pPr>
            <w:r w:rsidRPr="00F829F4">
              <w:rPr>
                <w:rFonts w:ascii="Times New Roman" w:hAnsi="Times New Roman" w:cs="Times New Roman"/>
                <w:color w:val="605E5C"/>
                <w:sz w:val="16"/>
                <w:szCs w:val="24"/>
              </w:rPr>
              <w:t>APORTE AL PROBLEMA</w:t>
            </w:r>
          </w:p>
        </w:tc>
      </w:tr>
      <w:tr w:rsidR="00E10342" w14:paraId="3DBB3E28" w14:textId="77777777" w:rsidTr="00F829F4">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843" w:type="dxa"/>
          </w:tcPr>
          <w:p w14:paraId="4F687364" w14:textId="77777777" w:rsidR="00E10342" w:rsidRDefault="00E10342">
            <w:pPr>
              <w:pStyle w:val="Prrafodelista"/>
              <w:spacing w:after="200" w:line="360" w:lineRule="auto"/>
              <w:jc w:val="both"/>
              <w:rPr>
                <w:rFonts w:ascii="Times New Roman" w:hAnsi="Times New Roman" w:cs="Times New Roman"/>
                <w:color w:val="605E5C"/>
                <w:sz w:val="24"/>
                <w:szCs w:val="24"/>
              </w:rPr>
            </w:pPr>
          </w:p>
        </w:tc>
        <w:tc>
          <w:tcPr>
            <w:tcW w:w="2268" w:type="dxa"/>
          </w:tcPr>
          <w:p w14:paraId="751FAA6D" w14:textId="77777777" w:rsidR="00E10342" w:rsidRDefault="00E10342">
            <w:pPr>
              <w:pStyle w:val="Prrafodelista"/>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605E5C"/>
                <w:sz w:val="24"/>
                <w:szCs w:val="24"/>
              </w:rPr>
            </w:pPr>
          </w:p>
        </w:tc>
        <w:tc>
          <w:tcPr>
            <w:tcW w:w="2125" w:type="dxa"/>
          </w:tcPr>
          <w:p w14:paraId="5ADA1567" w14:textId="77777777" w:rsidR="00E10342" w:rsidRDefault="00E10342">
            <w:pPr>
              <w:pStyle w:val="Prrafodelista"/>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605E5C"/>
                <w:sz w:val="24"/>
                <w:szCs w:val="24"/>
              </w:rPr>
            </w:pPr>
          </w:p>
        </w:tc>
        <w:tc>
          <w:tcPr>
            <w:tcW w:w="1556" w:type="dxa"/>
          </w:tcPr>
          <w:p w14:paraId="7B73E95B" w14:textId="77777777" w:rsidR="00E10342" w:rsidRDefault="00E10342">
            <w:pPr>
              <w:pStyle w:val="Prrafodelista"/>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605E5C"/>
                <w:sz w:val="24"/>
                <w:szCs w:val="24"/>
              </w:rPr>
            </w:pPr>
          </w:p>
        </w:tc>
        <w:tc>
          <w:tcPr>
            <w:tcW w:w="1556" w:type="dxa"/>
          </w:tcPr>
          <w:p w14:paraId="28CC3934" w14:textId="77777777" w:rsidR="00E10342" w:rsidRDefault="00E10342">
            <w:pPr>
              <w:pStyle w:val="Prrafodelista"/>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605E5C"/>
                <w:sz w:val="24"/>
                <w:szCs w:val="24"/>
              </w:rPr>
            </w:pPr>
          </w:p>
        </w:tc>
      </w:tr>
    </w:tbl>
    <w:p w14:paraId="2417B967" w14:textId="77777777" w:rsidR="00E10342" w:rsidRDefault="00E10342">
      <w:pPr>
        <w:pStyle w:val="Prrafodelista"/>
        <w:spacing w:after="200" w:line="360" w:lineRule="auto"/>
        <w:jc w:val="both"/>
        <w:rPr>
          <w:rFonts w:ascii="Times New Roman" w:hAnsi="Times New Roman" w:cs="Times New Roman"/>
          <w:bCs/>
          <w:sz w:val="24"/>
          <w:szCs w:val="24"/>
        </w:rPr>
      </w:pPr>
    </w:p>
    <w:p w14:paraId="3D305FFD" w14:textId="77777777" w:rsidR="00E10342" w:rsidRDefault="00E10342">
      <w:pPr>
        <w:pStyle w:val="Prrafodelista"/>
        <w:spacing w:after="200" w:line="360" w:lineRule="auto"/>
        <w:jc w:val="both"/>
        <w:rPr>
          <w:rFonts w:ascii="Times New Roman" w:hAnsi="Times New Roman" w:cs="Times New Roman"/>
          <w:bCs/>
          <w:sz w:val="24"/>
          <w:szCs w:val="24"/>
        </w:rPr>
      </w:pPr>
    </w:p>
    <w:p w14:paraId="03DF2FE6" w14:textId="77777777" w:rsidR="00E10342" w:rsidRDefault="00D31DDB">
      <w:pPr>
        <w:pStyle w:val="Prrafodelista"/>
        <w:spacing w:after="200" w:line="360" w:lineRule="auto"/>
        <w:jc w:val="both"/>
        <w:rPr>
          <w:rFonts w:ascii="Times New Roman" w:hAnsi="Times New Roman" w:cs="Times New Roman"/>
          <w:bCs/>
          <w:sz w:val="24"/>
          <w:szCs w:val="24"/>
        </w:rPr>
      </w:pPr>
      <w:r>
        <w:rPr>
          <w:rFonts w:ascii="Times New Roman" w:hAnsi="Times New Roman" w:cs="Times New Roman"/>
          <w:bCs/>
          <w:sz w:val="24"/>
          <w:szCs w:val="24"/>
        </w:rPr>
        <w:t> </w:t>
      </w:r>
    </w:p>
    <w:p w14:paraId="5EBAB0F8" w14:textId="2C09C755" w:rsidR="00E10342" w:rsidRPr="00F95D46" w:rsidRDefault="00D31DDB" w:rsidP="00F95D46">
      <w:pPr>
        <w:pStyle w:val="Ttulo2"/>
      </w:pPr>
      <w:r>
        <w:br w:type="column"/>
      </w:r>
      <w:bookmarkStart w:id="433" w:name="__RefHeading__27537_1894434827"/>
      <w:bookmarkStart w:id="434" w:name="_Toc61277027"/>
      <w:bookmarkStart w:id="435" w:name="_Toc62463377"/>
      <w:bookmarkStart w:id="436" w:name="_Toc62476117"/>
      <w:bookmarkStart w:id="437" w:name="_Toc62476323"/>
      <w:bookmarkStart w:id="438" w:name="_Toc63688989"/>
      <w:r w:rsidRPr="00F95D46">
        <w:lastRenderedPageBreak/>
        <w:t>Anexo 4</w:t>
      </w:r>
      <w:bookmarkStart w:id="439" w:name="__RefHeading__27539_1894434827"/>
      <w:bookmarkStart w:id="440" w:name="_Toc61277028"/>
      <w:bookmarkStart w:id="441" w:name="_Toc62463378"/>
      <w:bookmarkEnd w:id="433"/>
      <w:bookmarkEnd w:id="434"/>
      <w:bookmarkEnd w:id="435"/>
      <w:r w:rsidR="00F95D46" w:rsidRPr="00F95D46">
        <w:t xml:space="preserve">. </w:t>
      </w:r>
      <w:r w:rsidRPr="00F95D46">
        <w:t>Carta de autorización</w:t>
      </w:r>
      <w:bookmarkEnd w:id="436"/>
      <w:bookmarkEnd w:id="437"/>
      <w:bookmarkEnd w:id="438"/>
      <w:bookmarkEnd w:id="439"/>
      <w:bookmarkEnd w:id="440"/>
      <w:bookmarkEnd w:id="441"/>
    </w:p>
    <w:p w14:paraId="7173B9E7" w14:textId="77777777" w:rsidR="00E10342" w:rsidRDefault="00D31DDB" w:rsidP="00F95D46">
      <w:pPr>
        <w:pStyle w:val="Prrafodelista"/>
        <w:spacing w:after="200" w:line="360" w:lineRule="auto"/>
        <w:ind w:left="0"/>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San José, 17 de setiembre del 2020</w:t>
      </w:r>
    </w:p>
    <w:p w14:paraId="7FAFBE49" w14:textId="77777777" w:rsidR="00E10342" w:rsidRDefault="00D31DDB" w:rsidP="00F95D46">
      <w:pPr>
        <w:pStyle w:val="Prrafodelista"/>
        <w:spacing w:after="200" w:line="360" w:lineRule="auto"/>
        <w:ind w:left="0"/>
        <w:jc w:val="both"/>
        <w:rPr>
          <w:rFonts w:ascii="Times New Roman" w:hAnsi="Times New Roman" w:cs="Times New Roman"/>
          <w:b/>
          <w:bCs/>
          <w:sz w:val="24"/>
          <w:szCs w:val="24"/>
          <w:lang w:val="es-ES"/>
        </w:rPr>
      </w:pPr>
      <w:proofErr w:type="spellStart"/>
      <w:r>
        <w:rPr>
          <w:rFonts w:ascii="Times New Roman" w:hAnsi="Times New Roman" w:cs="Times New Roman"/>
          <w:b/>
          <w:bCs/>
          <w:sz w:val="24"/>
          <w:szCs w:val="24"/>
          <w:lang w:val="es-ES"/>
        </w:rPr>
        <w:t>N°</w:t>
      </w:r>
      <w:proofErr w:type="spellEnd"/>
      <w:r>
        <w:rPr>
          <w:rFonts w:ascii="Times New Roman" w:hAnsi="Times New Roman" w:cs="Times New Roman"/>
          <w:b/>
          <w:bCs/>
          <w:sz w:val="24"/>
          <w:szCs w:val="24"/>
          <w:lang w:val="es-ES"/>
        </w:rPr>
        <w:t xml:space="preserve"> 8650-2020</w:t>
      </w:r>
    </w:p>
    <w:p w14:paraId="142401F7" w14:textId="77777777" w:rsidR="00E10342" w:rsidRDefault="00D31DDB" w:rsidP="00F95D46">
      <w:pPr>
        <w:pStyle w:val="Prrafodelista"/>
        <w:spacing w:after="200"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Al contestar refiérase a este # de oficio</w:t>
      </w:r>
    </w:p>
    <w:p w14:paraId="446C158E" w14:textId="77777777" w:rsidR="00E10342" w:rsidRDefault="00D31DDB" w:rsidP="00F95D46">
      <w:pPr>
        <w:pStyle w:val="Prrafodelista"/>
        <w:spacing w:after="200" w:line="360" w:lineRule="auto"/>
        <w:ind w:left="0"/>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 </w:t>
      </w:r>
    </w:p>
    <w:p w14:paraId="3719FD85" w14:textId="77777777" w:rsidR="00E10342" w:rsidRDefault="00D31DDB" w:rsidP="00F95D46">
      <w:pPr>
        <w:pStyle w:val="Prrafodelista"/>
        <w:spacing w:after="200" w:line="360" w:lineRule="auto"/>
        <w:ind w:left="0"/>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Señora</w:t>
      </w:r>
    </w:p>
    <w:p w14:paraId="7B1FAC48" w14:textId="77777777" w:rsidR="00E10342" w:rsidRDefault="00D31DDB" w:rsidP="00F95D46">
      <w:pPr>
        <w:pStyle w:val="Prrafodelista"/>
        <w:spacing w:after="200" w:line="360" w:lineRule="auto"/>
        <w:ind w:left="0"/>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Licda. Lorena Ma. Mc </w:t>
      </w:r>
      <w:proofErr w:type="spellStart"/>
      <w:r>
        <w:rPr>
          <w:rFonts w:ascii="Times New Roman" w:hAnsi="Times New Roman" w:cs="Times New Roman"/>
          <w:b/>
          <w:bCs/>
          <w:sz w:val="24"/>
          <w:szCs w:val="24"/>
          <w:lang w:val="es-ES"/>
        </w:rPr>
        <w:t>Laren</w:t>
      </w:r>
      <w:proofErr w:type="spellEnd"/>
      <w:r>
        <w:rPr>
          <w:rFonts w:ascii="Times New Roman" w:hAnsi="Times New Roman" w:cs="Times New Roman"/>
          <w:b/>
          <w:bCs/>
          <w:sz w:val="24"/>
          <w:szCs w:val="24"/>
          <w:lang w:val="es-ES"/>
        </w:rPr>
        <w:t>, Jueza</w:t>
      </w:r>
    </w:p>
    <w:p w14:paraId="09215114" w14:textId="77777777" w:rsidR="00E10342" w:rsidRDefault="00D31DDB" w:rsidP="00F95D46">
      <w:pPr>
        <w:pStyle w:val="Prrafodelista"/>
        <w:spacing w:after="200" w:line="360" w:lineRule="auto"/>
        <w:ind w:left="0"/>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Juzgado de Familia del Segundo Circuito Judicial</w:t>
      </w:r>
    </w:p>
    <w:p w14:paraId="5E3016C0" w14:textId="77777777" w:rsidR="00E10342" w:rsidRDefault="00D31DDB" w:rsidP="00F95D46">
      <w:pPr>
        <w:pStyle w:val="Prrafodelista"/>
        <w:spacing w:after="200" w:line="360" w:lineRule="auto"/>
        <w:ind w:left="0"/>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 </w:t>
      </w:r>
    </w:p>
    <w:p w14:paraId="04CD1C2E" w14:textId="77777777" w:rsidR="00E10342" w:rsidRDefault="00D31DDB" w:rsidP="00F95D46">
      <w:pPr>
        <w:pStyle w:val="Prrafodelista"/>
        <w:spacing w:after="200" w:line="360" w:lineRule="auto"/>
        <w:ind w:left="0"/>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Estimada señora:</w:t>
      </w:r>
    </w:p>
    <w:p w14:paraId="36B3ED06" w14:textId="77777777" w:rsidR="00E10342" w:rsidRDefault="00D31DDB" w:rsidP="00F95D46">
      <w:pPr>
        <w:pStyle w:val="Prrafodelista"/>
        <w:spacing w:after="200" w:line="360" w:lineRule="auto"/>
        <w:ind w:left="0"/>
        <w:jc w:val="both"/>
      </w:pPr>
      <w:r>
        <w:rPr>
          <w:rFonts w:ascii="Times New Roman" w:hAnsi="Times New Roman" w:cs="Times New Roman"/>
          <w:bCs/>
          <w:sz w:val="24"/>
          <w:szCs w:val="24"/>
          <w:lang w:val="es-ES"/>
        </w:rPr>
        <w:t>Para su estimable conocimiento y fines consiguientes, le transcribo el acuerdo tomado por el Consejo Superior del Poder Judicial, en sesión </w:t>
      </w:r>
      <w:proofErr w:type="spellStart"/>
      <w:r>
        <w:rPr>
          <w:rFonts w:ascii="Times New Roman" w:hAnsi="Times New Roman" w:cs="Times New Roman"/>
          <w:b/>
          <w:bCs/>
          <w:sz w:val="24"/>
          <w:szCs w:val="24"/>
          <w:lang w:val="es-ES"/>
        </w:rPr>
        <w:t>N°</w:t>
      </w:r>
      <w:proofErr w:type="spellEnd"/>
      <w:r>
        <w:rPr>
          <w:rFonts w:ascii="Times New Roman" w:hAnsi="Times New Roman" w:cs="Times New Roman"/>
          <w:b/>
          <w:bCs/>
          <w:sz w:val="24"/>
          <w:szCs w:val="24"/>
          <w:lang w:val="es-ES"/>
        </w:rPr>
        <w:t xml:space="preserve"> 89-2020 </w:t>
      </w:r>
      <w:r>
        <w:rPr>
          <w:rFonts w:ascii="Times New Roman" w:hAnsi="Times New Roman" w:cs="Times New Roman"/>
          <w:bCs/>
          <w:sz w:val="24"/>
          <w:szCs w:val="24"/>
          <w:lang w:val="es-ES"/>
        </w:rPr>
        <w:t>celebrada el </w:t>
      </w:r>
      <w:r>
        <w:rPr>
          <w:rFonts w:ascii="Times New Roman" w:hAnsi="Times New Roman" w:cs="Times New Roman"/>
          <w:b/>
          <w:bCs/>
          <w:sz w:val="24"/>
          <w:szCs w:val="24"/>
          <w:lang w:val="es-ES"/>
        </w:rPr>
        <w:t>15 de setiembre del 2020,</w:t>
      </w:r>
      <w:r>
        <w:rPr>
          <w:rFonts w:ascii="Times New Roman" w:hAnsi="Times New Roman" w:cs="Times New Roman"/>
          <w:bCs/>
          <w:sz w:val="24"/>
          <w:szCs w:val="24"/>
          <w:lang w:val="es-ES"/>
        </w:rPr>
        <w:t> que literalmente dice:</w:t>
      </w:r>
    </w:p>
    <w:p w14:paraId="11F91276" w14:textId="77777777" w:rsidR="00E10342" w:rsidRDefault="00D31DDB" w:rsidP="00F95D46">
      <w:pPr>
        <w:pStyle w:val="Prrafodelista"/>
        <w:spacing w:after="200" w:line="360" w:lineRule="auto"/>
        <w:ind w:left="0"/>
        <w:jc w:val="both"/>
      </w:pPr>
      <w:r>
        <w:rPr>
          <w:rFonts w:ascii="Times New Roman" w:hAnsi="Times New Roman" w:cs="Times New Roman"/>
          <w:bCs/>
          <w:sz w:val="24"/>
          <w:szCs w:val="24"/>
          <w:lang w:val="es-ES"/>
        </w:rPr>
        <w:t>“</w:t>
      </w:r>
      <w:bookmarkStart w:id="442" w:name="m_4709230366462696662_x__Toc50647643"/>
      <w:r>
        <w:rPr>
          <w:rFonts w:ascii="Times New Roman" w:hAnsi="Times New Roman" w:cs="Times New Roman"/>
          <w:b/>
          <w:bCs/>
          <w:sz w:val="24"/>
          <w:szCs w:val="24"/>
          <w:u w:val="single"/>
          <w:lang w:val="es-ES"/>
        </w:rPr>
        <w:t>ARTÍCULO LIII</w:t>
      </w:r>
      <w:bookmarkEnd w:id="442"/>
    </w:p>
    <w:p w14:paraId="6779DBC1" w14:textId="77777777" w:rsidR="00E10342" w:rsidRDefault="00D31DDB" w:rsidP="00F95D46">
      <w:pPr>
        <w:pStyle w:val="Prrafodelista"/>
        <w:spacing w:after="200"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 xml:space="preserve">DOCUMENTO </w:t>
      </w:r>
      <w:proofErr w:type="spellStart"/>
      <w:r>
        <w:rPr>
          <w:rFonts w:ascii="Times New Roman" w:hAnsi="Times New Roman" w:cs="Times New Roman"/>
          <w:b/>
          <w:bCs/>
          <w:sz w:val="24"/>
          <w:szCs w:val="24"/>
        </w:rPr>
        <w:t>N°</w:t>
      </w:r>
      <w:proofErr w:type="spellEnd"/>
      <w:r>
        <w:rPr>
          <w:rFonts w:ascii="Times New Roman" w:hAnsi="Times New Roman" w:cs="Times New Roman"/>
          <w:b/>
          <w:bCs/>
          <w:sz w:val="24"/>
          <w:szCs w:val="24"/>
        </w:rPr>
        <w:t xml:space="preserve"> 10336-2020</w:t>
      </w:r>
    </w:p>
    <w:p w14:paraId="4BD1AE71" w14:textId="77777777"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t xml:space="preserve">La licenciada Lorena María Mc </w:t>
      </w:r>
      <w:proofErr w:type="spellStart"/>
      <w:r>
        <w:rPr>
          <w:rFonts w:ascii="Times New Roman" w:hAnsi="Times New Roman" w:cs="Times New Roman"/>
          <w:bCs/>
          <w:sz w:val="24"/>
          <w:szCs w:val="24"/>
          <w:lang w:val="es-ES"/>
        </w:rPr>
        <w:t>Laren</w:t>
      </w:r>
      <w:proofErr w:type="spellEnd"/>
      <w:r>
        <w:rPr>
          <w:rFonts w:ascii="Times New Roman" w:hAnsi="Times New Roman" w:cs="Times New Roman"/>
          <w:bCs/>
          <w:sz w:val="24"/>
          <w:szCs w:val="24"/>
          <w:lang w:val="es-ES"/>
        </w:rPr>
        <w:t>, Jueza del Juzgado de Familia del Segundo Circuito Judicial, mediante correo electrónico del 7 de setiembre de 2020, gestionó:</w:t>
      </w:r>
    </w:p>
    <w:p w14:paraId="0B20DBF7" w14:textId="638E8BB2"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t>“El motivo de la presente es solicitar autorización para revisar expedientes de los años 2018 y 2019 en materia contra la violencia doméstica en el Juzgado Contra la Violencia Doméstica II Circuito Judicial San José, con fines meramente académicos, en mi condición de estudiante regular de la práctica supervisada II que se encuentra en ejecución entre los meses de setiembre y noviembre 2020, de la Maestría Administración de Justicia,</w:t>
      </w:r>
      <w:r w:rsidR="005F159A">
        <w:rPr>
          <w:rFonts w:ascii="Times New Roman" w:hAnsi="Times New Roman" w:cs="Times New Roman"/>
          <w:bCs/>
          <w:sz w:val="24"/>
          <w:szCs w:val="24"/>
          <w:lang w:val="es-ES"/>
        </w:rPr>
        <w:t xml:space="preserve"> </w:t>
      </w:r>
      <w:r>
        <w:rPr>
          <w:rFonts w:ascii="Times New Roman" w:hAnsi="Times New Roman" w:cs="Times New Roman"/>
          <w:bCs/>
          <w:sz w:val="24"/>
          <w:szCs w:val="24"/>
          <w:lang w:val="es-ES"/>
        </w:rPr>
        <w:t>impartida en la Universidad Nacional y que forma parte del programa de graduación programada para el mes de marzo 2021, según calendario académico de la UNA.</w:t>
      </w:r>
    </w:p>
    <w:p w14:paraId="40A6B27A" w14:textId="5606A0CB"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lastRenderedPageBreak/>
        <w:t>La práctica supervisada II consiste en revisar un porcentaje de expedientes al azahar en una investigación de naturaleza cualitativa, razón por la cual no se requiere de datos confidenciales de las personas usuarias</w:t>
      </w:r>
      <w:r w:rsidR="00F95D46">
        <w:rPr>
          <w:rFonts w:ascii="Times New Roman" w:hAnsi="Times New Roman" w:cs="Times New Roman"/>
          <w:bCs/>
          <w:sz w:val="24"/>
          <w:szCs w:val="24"/>
          <w:lang w:val="es-ES"/>
        </w:rPr>
        <w:t xml:space="preserve"> </w:t>
      </w:r>
      <w:r>
        <w:rPr>
          <w:rFonts w:ascii="Times New Roman" w:hAnsi="Times New Roman" w:cs="Times New Roman"/>
          <w:bCs/>
          <w:sz w:val="24"/>
          <w:szCs w:val="24"/>
          <w:lang w:val="es-ES"/>
        </w:rPr>
        <w:t xml:space="preserve">(tales como nombre, teléfono, dirección </w:t>
      </w:r>
      <w:proofErr w:type="spellStart"/>
      <w:r>
        <w:rPr>
          <w:rFonts w:ascii="Times New Roman" w:hAnsi="Times New Roman" w:cs="Times New Roman"/>
          <w:bCs/>
          <w:sz w:val="24"/>
          <w:szCs w:val="24"/>
          <w:lang w:val="es-ES"/>
        </w:rPr>
        <w:t>etc</w:t>
      </w:r>
      <w:proofErr w:type="spellEnd"/>
      <w:r>
        <w:rPr>
          <w:rFonts w:ascii="Times New Roman" w:hAnsi="Times New Roman" w:cs="Times New Roman"/>
          <w:bCs/>
          <w:sz w:val="24"/>
          <w:szCs w:val="24"/>
          <w:lang w:val="es-ES"/>
        </w:rPr>
        <w:t>),</w:t>
      </w:r>
      <w:r w:rsidR="00F95D46">
        <w:rPr>
          <w:rFonts w:ascii="Times New Roman" w:hAnsi="Times New Roman" w:cs="Times New Roman"/>
          <w:bCs/>
          <w:sz w:val="24"/>
          <w:szCs w:val="24"/>
          <w:lang w:val="es-ES"/>
        </w:rPr>
        <w:t xml:space="preserve"> </w:t>
      </w:r>
      <w:r>
        <w:rPr>
          <w:rFonts w:ascii="Times New Roman" w:hAnsi="Times New Roman" w:cs="Times New Roman"/>
          <w:bCs/>
          <w:sz w:val="24"/>
          <w:szCs w:val="24"/>
          <w:lang w:val="es-ES"/>
        </w:rPr>
        <w:t xml:space="preserve">porque el interés radica en conocer a sobre la existencia o no de vulnerabilidad cognitiva en las </w:t>
      </w:r>
      <w:proofErr w:type="gramStart"/>
      <w:r>
        <w:rPr>
          <w:rFonts w:ascii="Times New Roman" w:hAnsi="Times New Roman" w:cs="Times New Roman"/>
          <w:bCs/>
          <w:sz w:val="24"/>
          <w:szCs w:val="24"/>
          <w:lang w:val="es-ES"/>
        </w:rPr>
        <w:t>mismas</w:t>
      </w:r>
      <w:proofErr w:type="gramEnd"/>
      <w:r>
        <w:rPr>
          <w:rFonts w:ascii="Times New Roman" w:hAnsi="Times New Roman" w:cs="Times New Roman"/>
          <w:bCs/>
          <w:sz w:val="24"/>
          <w:szCs w:val="24"/>
          <w:lang w:val="es-ES"/>
        </w:rPr>
        <w:t xml:space="preserve"> así como el abordaje o no que se brinda a esta condición dentro de la institución.</w:t>
      </w:r>
    </w:p>
    <w:p w14:paraId="38524034" w14:textId="1590E502"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t>El Juzgado indicado se eligió por las siguientes razones: a.- porque resulta ser el despacho judicial con mayor competencia en</w:t>
      </w:r>
      <w:r w:rsidR="00F95D46">
        <w:rPr>
          <w:rFonts w:ascii="Times New Roman" w:hAnsi="Times New Roman" w:cs="Times New Roman"/>
          <w:bCs/>
          <w:sz w:val="24"/>
          <w:szCs w:val="24"/>
          <w:lang w:val="es-ES"/>
        </w:rPr>
        <w:t xml:space="preserve"> </w:t>
      </w:r>
      <w:r>
        <w:rPr>
          <w:rFonts w:ascii="Times New Roman" w:hAnsi="Times New Roman" w:cs="Times New Roman"/>
          <w:bCs/>
          <w:sz w:val="24"/>
          <w:szCs w:val="24"/>
          <w:lang w:val="es-ES"/>
        </w:rPr>
        <w:t xml:space="preserve">la provincia de San José. b.- porque San José es la provincia que más casos por violencia doméstica reporta estadísticamente. c.- las mujeres edades entre 27 y 35 años reportan mayor porcentaje de gestiones por violencia doméstica y d.- cuento con el aval de la </w:t>
      </w:r>
      <w:proofErr w:type="spellStart"/>
      <w:r>
        <w:rPr>
          <w:rFonts w:ascii="Times New Roman" w:hAnsi="Times New Roman" w:cs="Times New Roman"/>
          <w:bCs/>
          <w:sz w:val="24"/>
          <w:szCs w:val="24"/>
          <w:lang w:val="es-ES"/>
        </w:rPr>
        <w:t>M.Sc</w:t>
      </w:r>
      <w:proofErr w:type="spellEnd"/>
      <w:r>
        <w:rPr>
          <w:rFonts w:ascii="Times New Roman" w:hAnsi="Times New Roman" w:cs="Times New Roman"/>
          <w:bCs/>
          <w:sz w:val="24"/>
          <w:szCs w:val="24"/>
          <w:lang w:val="es-ES"/>
        </w:rPr>
        <w:t xml:space="preserve">. Silvia Fernández, persona administradora de justicia coordinadora para efectuar dicho estudio, a quien he agradecido su colaboración desde </w:t>
      </w:r>
      <w:proofErr w:type="gramStart"/>
      <w:r>
        <w:rPr>
          <w:rFonts w:ascii="Times New Roman" w:hAnsi="Times New Roman" w:cs="Times New Roman"/>
          <w:bCs/>
          <w:sz w:val="24"/>
          <w:szCs w:val="24"/>
          <w:lang w:val="es-ES"/>
        </w:rPr>
        <w:t>ya</w:t>
      </w:r>
      <w:proofErr w:type="gramEnd"/>
      <w:r>
        <w:rPr>
          <w:rFonts w:ascii="Times New Roman" w:hAnsi="Times New Roman" w:cs="Times New Roman"/>
          <w:bCs/>
          <w:sz w:val="24"/>
          <w:szCs w:val="24"/>
          <w:lang w:val="es-ES"/>
        </w:rPr>
        <w:t> así como al personal del mismo.</w:t>
      </w:r>
    </w:p>
    <w:p w14:paraId="324DBD32" w14:textId="2F8AD346" w:rsidR="00E10342" w:rsidRDefault="00D31DDB" w:rsidP="00F95D46">
      <w:pPr>
        <w:pStyle w:val="Prrafodelista"/>
        <w:spacing w:after="200" w:line="360" w:lineRule="auto"/>
        <w:ind w:left="0"/>
        <w:jc w:val="both"/>
      </w:pPr>
      <w:r>
        <w:rPr>
          <w:rFonts w:ascii="Times New Roman" w:hAnsi="Times New Roman" w:cs="Times New Roman"/>
          <w:bCs/>
          <w:sz w:val="24"/>
          <w:szCs w:val="24"/>
          <w:lang w:val="es-ES"/>
        </w:rPr>
        <w:t>El tema del Trabajo Final de Graduación se encuentra aprobado por el Consejo Académico de la Escuela de Sociología de la UNA y lleva por título: </w:t>
      </w:r>
      <w:r>
        <w:rPr>
          <w:rFonts w:ascii="Times New Roman" w:hAnsi="Times New Roman" w:cs="Times New Roman"/>
          <w:bCs/>
          <w:i/>
          <w:iCs/>
          <w:sz w:val="24"/>
          <w:szCs w:val="24"/>
          <w:lang w:val="es-ES"/>
        </w:rPr>
        <w:t xml:space="preserve">" Vulnerabilidad cognitiva en mujeres víctimas de violencia intrafamiliar con edades comprendidas entre los 27 y 35 </w:t>
      </w:r>
      <w:proofErr w:type="gramStart"/>
      <w:r>
        <w:rPr>
          <w:rFonts w:ascii="Times New Roman" w:hAnsi="Times New Roman" w:cs="Times New Roman"/>
          <w:bCs/>
          <w:i/>
          <w:iCs/>
          <w:sz w:val="24"/>
          <w:szCs w:val="24"/>
          <w:lang w:val="es-ES"/>
        </w:rPr>
        <w:t>años de edad</w:t>
      </w:r>
      <w:proofErr w:type="gramEnd"/>
      <w:r>
        <w:rPr>
          <w:rFonts w:ascii="Times New Roman" w:hAnsi="Times New Roman" w:cs="Times New Roman"/>
          <w:bCs/>
          <w:i/>
          <w:iCs/>
          <w:sz w:val="24"/>
          <w:szCs w:val="24"/>
          <w:lang w:val="es-ES"/>
        </w:rPr>
        <w:t>, en el Juzgado Contra la Violencia Doméstica II Circuito Judicial de San José, entre los años 2018 y 2019."</w:t>
      </w:r>
    </w:p>
    <w:p w14:paraId="5AC32FAD" w14:textId="77777777"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t xml:space="preserve">La revisión la realizaré en el sitio que la </w:t>
      </w:r>
      <w:proofErr w:type="spellStart"/>
      <w:r>
        <w:rPr>
          <w:rFonts w:ascii="Times New Roman" w:hAnsi="Times New Roman" w:cs="Times New Roman"/>
          <w:bCs/>
          <w:sz w:val="24"/>
          <w:szCs w:val="24"/>
          <w:lang w:val="es-ES"/>
        </w:rPr>
        <w:t>M.Sc</w:t>
      </w:r>
      <w:proofErr w:type="spellEnd"/>
      <w:r>
        <w:rPr>
          <w:rFonts w:ascii="Times New Roman" w:hAnsi="Times New Roman" w:cs="Times New Roman"/>
          <w:bCs/>
          <w:sz w:val="24"/>
          <w:szCs w:val="24"/>
          <w:lang w:val="es-ES"/>
        </w:rPr>
        <w:t>. Fernández disponga dentro de su despacho, sin interrumpir funciones y trataré de organizarme de tal forma que sea en el menor tiempo posible. Tampoco interrumpiré mis funciones laborales porque dispongo de días suficientes como para la tramitación de vacaciones y la misma se realizará durante el mes de octubre 2020.”</w:t>
      </w:r>
    </w:p>
    <w:p w14:paraId="28407EDA" w14:textId="77777777"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t>- 0 -</w:t>
      </w:r>
    </w:p>
    <w:p w14:paraId="735DC833" w14:textId="77777777"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t xml:space="preserve">En circular </w:t>
      </w:r>
      <w:proofErr w:type="spellStart"/>
      <w:r>
        <w:rPr>
          <w:rFonts w:ascii="Times New Roman" w:hAnsi="Times New Roman" w:cs="Times New Roman"/>
          <w:bCs/>
          <w:sz w:val="24"/>
          <w:szCs w:val="24"/>
          <w:lang w:val="es-ES"/>
        </w:rPr>
        <w:t>N°</w:t>
      </w:r>
      <w:proofErr w:type="spellEnd"/>
      <w:r>
        <w:rPr>
          <w:rFonts w:ascii="Times New Roman" w:hAnsi="Times New Roman" w:cs="Times New Roman"/>
          <w:bCs/>
          <w:sz w:val="24"/>
          <w:szCs w:val="24"/>
          <w:lang w:val="es-ES"/>
        </w:rPr>
        <w:t xml:space="preserve"> 8-2016 del 12 de enero de 2016, la Secretaría de la Corte, hizo de conocimiento de los despachos judiciales del país que este Consejo en sesión </w:t>
      </w:r>
      <w:proofErr w:type="spellStart"/>
      <w:r>
        <w:rPr>
          <w:rFonts w:ascii="Times New Roman" w:hAnsi="Times New Roman" w:cs="Times New Roman"/>
          <w:bCs/>
          <w:sz w:val="24"/>
          <w:szCs w:val="24"/>
          <w:lang w:val="es-ES"/>
        </w:rPr>
        <w:t>N°</w:t>
      </w:r>
      <w:proofErr w:type="spellEnd"/>
      <w:r>
        <w:rPr>
          <w:rFonts w:ascii="Times New Roman" w:hAnsi="Times New Roman" w:cs="Times New Roman"/>
          <w:bCs/>
          <w:sz w:val="24"/>
          <w:szCs w:val="24"/>
          <w:lang w:val="es-ES"/>
        </w:rPr>
        <w:t xml:space="preserve"> 108-15 celebrada el 10 de diciembre de 2015, artículo LXXVIII, dispuso reiterar la circular </w:t>
      </w:r>
      <w:proofErr w:type="spellStart"/>
      <w:r>
        <w:rPr>
          <w:rFonts w:ascii="Times New Roman" w:hAnsi="Times New Roman" w:cs="Times New Roman"/>
          <w:bCs/>
          <w:sz w:val="24"/>
          <w:szCs w:val="24"/>
          <w:lang w:val="es-ES"/>
        </w:rPr>
        <w:t>N°</w:t>
      </w:r>
      <w:proofErr w:type="spellEnd"/>
      <w:r>
        <w:rPr>
          <w:rFonts w:ascii="Times New Roman" w:hAnsi="Times New Roman" w:cs="Times New Roman"/>
          <w:bCs/>
          <w:sz w:val="24"/>
          <w:szCs w:val="24"/>
          <w:lang w:val="es-ES"/>
        </w:rPr>
        <w:t xml:space="preserve"> 91-2010, sobre el “Acceso a los expedientes judiciales”</w:t>
      </w:r>
    </w:p>
    <w:p w14:paraId="0C026B68" w14:textId="77777777"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lastRenderedPageBreak/>
        <w:t xml:space="preserve">Luego, en la sesión </w:t>
      </w:r>
      <w:proofErr w:type="spellStart"/>
      <w:r>
        <w:rPr>
          <w:rFonts w:ascii="Times New Roman" w:hAnsi="Times New Roman" w:cs="Times New Roman"/>
          <w:bCs/>
          <w:sz w:val="24"/>
          <w:szCs w:val="24"/>
          <w:lang w:val="es-ES"/>
        </w:rPr>
        <w:t>N°</w:t>
      </w:r>
      <w:proofErr w:type="spellEnd"/>
      <w:r>
        <w:rPr>
          <w:rFonts w:ascii="Times New Roman" w:hAnsi="Times New Roman" w:cs="Times New Roman"/>
          <w:bCs/>
          <w:sz w:val="24"/>
          <w:szCs w:val="24"/>
          <w:lang w:val="es-ES"/>
        </w:rPr>
        <w:t xml:space="preserve"> 48-19 celebrada el 24 de mayo del 2019, artículo LIII, se comunicó al señor Fernando Escalante López, estudiante de la Carrera de Derecho de la Universidad Latina de Costa Rica, sede San Pedro, que debería estarse a lo establecido en el artículo 243 de la Ley Orgánica del Poder Judicial, respecto a las excepciones establecidas en esa norma, así como al principio de legalidad.</w:t>
      </w:r>
    </w:p>
    <w:p w14:paraId="34CD29FE" w14:textId="77777777" w:rsidR="00E10342" w:rsidRDefault="00D31DDB" w:rsidP="00F95D46">
      <w:pPr>
        <w:pStyle w:val="Prrafodelista"/>
        <w:spacing w:after="200" w:line="360" w:lineRule="auto"/>
        <w:ind w:left="0"/>
        <w:jc w:val="both"/>
      </w:pPr>
      <w:r>
        <w:rPr>
          <w:rFonts w:ascii="Times New Roman" w:hAnsi="Times New Roman" w:cs="Times New Roman"/>
          <w:bCs/>
          <w:sz w:val="24"/>
          <w:szCs w:val="24"/>
          <w:lang w:val="es-ES"/>
        </w:rPr>
        <w:t>Analizada por este Consejo la presente gestión, </w:t>
      </w:r>
      <w:r>
        <w:rPr>
          <w:rFonts w:ascii="Times New Roman" w:hAnsi="Times New Roman" w:cs="Times New Roman"/>
          <w:b/>
          <w:bCs/>
          <w:sz w:val="24"/>
          <w:szCs w:val="24"/>
          <w:lang w:val="es-ES"/>
        </w:rPr>
        <w:t>se acordó:</w:t>
      </w:r>
      <w:r>
        <w:rPr>
          <w:rFonts w:ascii="Times New Roman" w:hAnsi="Times New Roman" w:cs="Times New Roman"/>
          <w:bCs/>
          <w:sz w:val="24"/>
          <w:szCs w:val="24"/>
          <w:lang w:val="es-ES"/>
        </w:rPr>
        <w:t xml:space="preserve"> Acoger la solicitud anterior, en consecuencia, autorizar a la licenciada Lorena María Mc </w:t>
      </w:r>
      <w:proofErr w:type="spellStart"/>
      <w:r>
        <w:rPr>
          <w:rFonts w:ascii="Times New Roman" w:hAnsi="Times New Roman" w:cs="Times New Roman"/>
          <w:bCs/>
          <w:sz w:val="24"/>
          <w:szCs w:val="24"/>
          <w:lang w:val="es-ES"/>
        </w:rPr>
        <w:t>Laren</w:t>
      </w:r>
      <w:proofErr w:type="spellEnd"/>
      <w:r>
        <w:rPr>
          <w:rFonts w:ascii="Times New Roman" w:hAnsi="Times New Roman" w:cs="Times New Roman"/>
          <w:bCs/>
          <w:sz w:val="24"/>
          <w:szCs w:val="24"/>
          <w:lang w:val="es-ES"/>
        </w:rPr>
        <w:t>, Jueza del Juzgado de Familia del Segundo Circuito Judicial, para que realice el trabajo de investigación y pueda revisar expedientes de los años 2018 y 2019 en materia contra la violencia doméstica en el </w:t>
      </w:r>
      <w:bookmarkStart w:id="443" w:name="m_4709230366462696662_x__Hlk51159143"/>
      <w:r>
        <w:rPr>
          <w:rFonts w:ascii="Times New Roman" w:hAnsi="Times New Roman" w:cs="Times New Roman"/>
          <w:bCs/>
          <w:sz w:val="24"/>
          <w:szCs w:val="24"/>
          <w:lang w:val="es-ES"/>
        </w:rPr>
        <w:t>Juzgado Contra la Violencia Doméstica del Segundo Circuito Judicial San José</w:t>
      </w:r>
      <w:bookmarkEnd w:id="443"/>
      <w:r>
        <w:rPr>
          <w:rFonts w:ascii="Times New Roman" w:hAnsi="Times New Roman" w:cs="Times New Roman"/>
          <w:bCs/>
          <w:sz w:val="24"/>
          <w:szCs w:val="24"/>
          <w:lang w:val="es-ES"/>
        </w:rPr>
        <w:t>, con el fin de poder realizar su trabajo de final de graduación para poder optar por la Maestría de Administración de Justicia, impartida en la Universidad Nacional. Lo anterior, en el entendido que deberá guardar la confidencialidad de la información a que tuviere acceso y en ningún caso podrá divulgar la identidad de las personas. Asimismo, el uso que haga de esa información quedará bajo su exclusiva responsabilidad, inclusive la penal.</w:t>
      </w:r>
    </w:p>
    <w:p w14:paraId="0CB233B7" w14:textId="77777777" w:rsidR="00E10342" w:rsidRDefault="00D31DDB" w:rsidP="00F95D46">
      <w:pPr>
        <w:pStyle w:val="Prrafodelista"/>
        <w:spacing w:after="200" w:line="360" w:lineRule="auto"/>
        <w:ind w:left="0"/>
        <w:jc w:val="both"/>
      </w:pPr>
      <w:r>
        <w:rPr>
          <w:rFonts w:ascii="Times New Roman" w:hAnsi="Times New Roman" w:cs="Times New Roman"/>
          <w:bCs/>
          <w:sz w:val="24"/>
          <w:szCs w:val="24"/>
          <w:lang w:val="es-ES"/>
        </w:rPr>
        <w:t>El Tribunal de la Inspección Judicial tomará nota para lo que corresponda.</w:t>
      </w:r>
      <w:r>
        <w:rPr>
          <w:rFonts w:ascii="Times New Roman" w:hAnsi="Times New Roman" w:cs="Times New Roman"/>
          <w:b/>
          <w:bCs/>
          <w:sz w:val="24"/>
          <w:szCs w:val="24"/>
        </w:rPr>
        <w:t> Se declara acuerdo firme</w:t>
      </w:r>
      <w:r>
        <w:rPr>
          <w:rFonts w:ascii="Times New Roman" w:hAnsi="Times New Roman" w:cs="Times New Roman"/>
          <w:bCs/>
          <w:sz w:val="24"/>
          <w:szCs w:val="24"/>
        </w:rPr>
        <w:t>.</w:t>
      </w:r>
      <w:r>
        <w:rPr>
          <w:rFonts w:ascii="Times New Roman" w:hAnsi="Times New Roman" w:cs="Times New Roman"/>
          <w:bCs/>
          <w:sz w:val="24"/>
          <w:szCs w:val="24"/>
          <w:lang w:val="es-ES"/>
        </w:rPr>
        <w:t>”</w:t>
      </w:r>
    </w:p>
    <w:p w14:paraId="00186BE4" w14:textId="77777777" w:rsidR="00E10342" w:rsidRDefault="00D31DDB" w:rsidP="00F95D46">
      <w:pPr>
        <w:pStyle w:val="Prrafodelista"/>
        <w:spacing w:after="200" w:line="360" w:lineRule="auto"/>
        <w:ind w:left="0"/>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Atentamente,</w:t>
      </w:r>
    </w:p>
    <w:p w14:paraId="6B7544D6" w14:textId="76DDCA02" w:rsidR="00E10342" w:rsidRDefault="005F159A" w:rsidP="00F95D46">
      <w:pPr>
        <w:pStyle w:val="Prrafodelista"/>
        <w:spacing w:after="200" w:line="360" w:lineRule="auto"/>
        <w:ind w:left="0"/>
        <w:jc w:val="both"/>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 </w:t>
      </w:r>
      <w:r w:rsidR="00D31DDB">
        <w:rPr>
          <w:rFonts w:ascii="Times New Roman" w:hAnsi="Times New Roman" w:cs="Times New Roman"/>
          <w:b/>
          <w:bCs/>
          <w:sz w:val="24"/>
          <w:szCs w:val="24"/>
          <w:lang w:val="es-ES"/>
        </w:rPr>
        <w:tab/>
      </w:r>
      <w:r w:rsidR="00D31DDB">
        <w:rPr>
          <w:rFonts w:ascii="Times New Roman" w:hAnsi="Times New Roman" w:cs="Times New Roman"/>
          <w:b/>
          <w:bCs/>
          <w:sz w:val="24"/>
          <w:szCs w:val="24"/>
          <w:lang w:val="es-ES"/>
        </w:rPr>
        <w:tab/>
      </w:r>
      <w:r w:rsidR="00D31DDB">
        <w:rPr>
          <w:rFonts w:ascii="Times New Roman" w:hAnsi="Times New Roman" w:cs="Times New Roman"/>
          <w:b/>
          <w:bCs/>
          <w:sz w:val="24"/>
          <w:szCs w:val="24"/>
          <w:lang w:val="es-ES"/>
        </w:rPr>
        <w:tab/>
      </w:r>
      <w:r w:rsidR="00D31DDB">
        <w:rPr>
          <w:rFonts w:ascii="Times New Roman" w:hAnsi="Times New Roman" w:cs="Times New Roman"/>
          <w:b/>
          <w:bCs/>
          <w:sz w:val="24"/>
          <w:szCs w:val="24"/>
          <w:lang w:val="es-ES"/>
        </w:rPr>
        <w:tab/>
      </w:r>
      <w:r w:rsidR="00D31DDB">
        <w:rPr>
          <w:rFonts w:ascii="Times New Roman" w:hAnsi="Times New Roman" w:cs="Times New Roman"/>
          <w:b/>
          <w:bCs/>
          <w:sz w:val="24"/>
          <w:szCs w:val="24"/>
          <w:lang w:val="es-ES"/>
        </w:rPr>
        <w:tab/>
        <w:t>Original firmado</w:t>
      </w:r>
    </w:p>
    <w:p w14:paraId="581D94F1" w14:textId="40534A63" w:rsidR="00E10342" w:rsidRDefault="00D31DDB" w:rsidP="00F95D46">
      <w:pPr>
        <w:pStyle w:val="Prrafodelista"/>
        <w:spacing w:after="200" w:line="360" w:lineRule="auto"/>
        <w:ind w:left="0"/>
        <w:jc w:val="both"/>
        <w:rPr>
          <w:rFonts w:ascii="Times New Roman" w:hAnsi="Times New Roman" w:cs="Times New Roman"/>
          <w:b/>
          <w:bCs/>
          <w:sz w:val="24"/>
          <w:szCs w:val="24"/>
        </w:rPr>
      </w:pPr>
      <w:r>
        <w:rPr>
          <w:rFonts w:ascii="Times New Roman" w:hAnsi="Times New Roman" w:cs="Times New Roman"/>
          <w:b/>
          <w:bCs/>
          <w:sz w:val="24"/>
          <w:szCs w:val="24"/>
          <w:lang w:val="es-ES"/>
        </w:rPr>
        <w:t> </w:t>
      </w:r>
      <w:r>
        <w:rPr>
          <w:rFonts w:ascii="Times New Roman" w:hAnsi="Times New Roman" w:cs="Times New Roman"/>
          <w:b/>
          <w:bCs/>
          <w:sz w:val="24"/>
          <w:szCs w:val="24"/>
        </w:rPr>
        <w:t>Lic. Rafael Rodríguez Jiménez</w:t>
      </w:r>
    </w:p>
    <w:p w14:paraId="01E7B806" w14:textId="77777777" w:rsidR="00E10342" w:rsidRDefault="00D31DDB" w:rsidP="00F95D46">
      <w:pPr>
        <w:pStyle w:val="Prrafodelista"/>
        <w:spacing w:after="200"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Prosecretario General interino</w:t>
      </w:r>
    </w:p>
    <w:p w14:paraId="42962408" w14:textId="4FB9B2BE" w:rsidR="00E10342" w:rsidRDefault="00D31DDB" w:rsidP="00F95D46">
      <w:pPr>
        <w:pStyle w:val="Prrafodelista"/>
        <w:spacing w:after="200" w:line="360" w:lineRule="auto"/>
        <w:ind w:left="0"/>
        <w:jc w:val="both"/>
        <w:rPr>
          <w:rFonts w:ascii="Times New Roman" w:hAnsi="Times New Roman" w:cs="Times New Roman"/>
          <w:bCs/>
          <w:sz w:val="24"/>
          <w:szCs w:val="24"/>
        </w:rPr>
      </w:pPr>
      <w:r>
        <w:rPr>
          <w:rFonts w:ascii="Times New Roman" w:hAnsi="Times New Roman" w:cs="Times New Roman"/>
          <w:b/>
          <w:bCs/>
          <w:sz w:val="24"/>
          <w:szCs w:val="24"/>
        </w:rPr>
        <w:t>Corte Suprema de Justicia</w:t>
      </w:r>
    </w:p>
    <w:p w14:paraId="14F11A4E" w14:textId="07E344A1"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t>c:</w:t>
      </w:r>
      <w:r w:rsidR="001768B3">
        <w:rPr>
          <w:rFonts w:ascii="Times New Roman" w:hAnsi="Times New Roman" w:cs="Times New Roman"/>
          <w:bCs/>
          <w:sz w:val="24"/>
          <w:szCs w:val="24"/>
          <w:lang w:val="es-ES"/>
        </w:rPr>
        <w:t xml:space="preserve">  </w:t>
      </w:r>
      <w:r>
        <w:rPr>
          <w:rFonts w:ascii="Times New Roman" w:hAnsi="Times New Roman" w:cs="Times New Roman"/>
          <w:bCs/>
          <w:sz w:val="24"/>
          <w:szCs w:val="24"/>
          <w:lang w:val="es-ES"/>
        </w:rPr>
        <w:t>Juzgado Contra la Violencia Doméstica del Segundo Circuito Judicial San José</w:t>
      </w:r>
    </w:p>
    <w:p w14:paraId="008ADC2F" w14:textId="77777777"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t>Tribunal de la Inspección Judicial</w:t>
      </w:r>
    </w:p>
    <w:p w14:paraId="6A2DB33D" w14:textId="77777777" w:rsidR="00E10342" w:rsidRDefault="00D31DDB" w:rsidP="00F95D46">
      <w:pPr>
        <w:pStyle w:val="Prrafodelista"/>
        <w:spacing w:after="200" w:line="360" w:lineRule="auto"/>
        <w:ind w:left="0"/>
        <w:jc w:val="both"/>
        <w:rPr>
          <w:rFonts w:ascii="Times New Roman" w:hAnsi="Times New Roman" w:cs="Times New Roman"/>
          <w:bCs/>
          <w:sz w:val="24"/>
          <w:szCs w:val="24"/>
          <w:lang w:val="es-ES"/>
        </w:rPr>
      </w:pPr>
      <w:r>
        <w:rPr>
          <w:rFonts w:ascii="Times New Roman" w:hAnsi="Times New Roman" w:cs="Times New Roman"/>
          <w:bCs/>
          <w:sz w:val="24"/>
          <w:szCs w:val="24"/>
          <w:lang w:val="es-ES"/>
        </w:rPr>
        <w:t xml:space="preserve">Diligencias / </w:t>
      </w:r>
      <w:proofErr w:type="spellStart"/>
      <w:r>
        <w:rPr>
          <w:rFonts w:ascii="Times New Roman" w:hAnsi="Times New Roman" w:cs="Times New Roman"/>
          <w:bCs/>
          <w:sz w:val="24"/>
          <w:szCs w:val="24"/>
          <w:lang w:val="es-ES"/>
        </w:rPr>
        <w:t>Refs</w:t>
      </w:r>
      <w:proofErr w:type="spellEnd"/>
      <w:r>
        <w:rPr>
          <w:rFonts w:ascii="Times New Roman" w:hAnsi="Times New Roman" w:cs="Times New Roman"/>
          <w:bCs/>
          <w:sz w:val="24"/>
          <w:szCs w:val="24"/>
          <w:lang w:val="es-ES"/>
        </w:rPr>
        <w:t>: (10336-2020)</w:t>
      </w:r>
    </w:p>
    <w:p w14:paraId="764225E4" w14:textId="77777777" w:rsidR="00E10342" w:rsidRDefault="00E10342" w:rsidP="00F95D46">
      <w:pPr>
        <w:pStyle w:val="Standard"/>
      </w:pPr>
    </w:p>
    <w:sectPr w:rsidR="00E10342" w:rsidSect="00C921E1">
      <w:pgSz w:w="12240" w:h="15840"/>
      <w:pgMar w:top="1418" w:right="1418" w:bottom="1418" w:left="1418" w:header="709" w:footer="709" w:gutter="68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8BA804" w14:textId="77777777" w:rsidR="00A54FE8" w:rsidRDefault="00A54FE8">
      <w:pPr>
        <w:spacing w:line="240" w:lineRule="auto"/>
      </w:pPr>
      <w:r>
        <w:separator/>
      </w:r>
    </w:p>
  </w:endnote>
  <w:endnote w:type="continuationSeparator" w:id="0">
    <w:p w14:paraId="58460EBB" w14:textId="77777777" w:rsidR="00A54FE8" w:rsidRDefault="00A54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Verdana!important">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A18C7" w14:textId="6035B714" w:rsidR="002179A8" w:rsidRDefault="002179A8">
    <w:pPr>
      <w:pStyle w:val="Piedepgina"/>
      <w:jc w:val="right"/>
    </w:pPr>
  </w:p>
  <w:p w14:paraId="62C563C2" w14:textId="77777777" w:rsidR="002179A8" w:rsidRDefault="002179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279CD" w14:textId="77777777" w:rsidR="00A54FE8" w:rsidRDefault="00A54FE8">
      <w:pPr>
        <w:spacing w:line="240" w:lineRule="auto"/>
      </w:pPr>
      <w:r>
        <w:rPr>
          <w:color w:val="000000"/>
        </w:rPr>
        <w:separator/>
      </w:r>
    </w:p>
  </w:footnote>
  <w:footnote w:type="continuationSeparator" w:id="0">
    <w:p w14:paraId="37F1D490" w14:textId="77777777" w:rsidR="00A54FE8" w:rsidRDefault="00A54F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339074237"/>
      <w:docPartObj>
        <w:docPartGallery w:val="Page Numbers (Top of Page)"/>
        <w:docPartUnique/>
      </w:docPartObj>
    </w:sdtPr>
    <w:sdtEndPr>
      <w:rPr>
        <w:rStyle w:val="Nmerodepgina"/>
      </w:rPr>
    </w:sdtEndPr>
    <w:sdtContent>
      <w:p w14:paraId="003986C9" w14:textId="31F0C228" w:rsidR="002179A8" w:rsidRDefault="002179A8" w:rsidP="004F392D">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1768B3">
          <w:rPr>
            <w:rStyle w:val="Nmerodepgina"/>
            <w:noProof/>
          </w:rPr>
          <w:t>i</w:t>
        </w:r>
        <w:r>
          <w:rPr>
            <w:rStyle w:val="Nmerodepgina"/>
          </w:rPr>
          <w:fldChar w:fldCharType="end"/>
        </w:r>
      </w:p>
    </w:sdtContent>
  </w:sdt>
  <w:p w14:paraId="39F47E9F" w14:textId="77777777" w:rsidR="002179A8" w:rsidRDefault="002179A8" w:rsidP="005002EF">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611134367"/>
      <w:docPartObj>
        <w:docPartGallery w:val="Page Numbers (Top of Page)"/>
        <w:docPartUnique/>
      </w:docPartObj>
    </w:sdtPr>
    <w:sdtEndPr>
      <w:rPr>
        <w:rStyle w:val="Nmerodepgina"/>
      </w:rPr>
    </w:sdtEndPr>
    <w:sdtContent>
      <w:p w14:paraId="03456C69" w14:textId="1AE09EF7" w:rsidR="002179A8" w:rsidRDefault="002179A8" w:rsidP="004F392D">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1768B3">
          <w:rPr>
            <w:rStyle w:val="Nmerodepgina"/>
            <w:noProof/>
          </w:rPr>
          <w:t>6</w:t>
        </w:r>
        <w:r>
          <w:rPr>
            <w:rStyle w:val="Nmerodepgina"/>
          </w:rPr>
          <w:fldChar w:fldCharType="end"/>
        </w:r>
      </w:p>
    </w:sdtContent>
  </w:sdt>
  <w:p w14:paraId="195CBBBC" w14:textId="77777777" w:rsidR="002179A8" w:rsidRDefault="002179A8" w:rsidP="005002EF">
    <w:pPr>
      <w:pStyle w:val="Encabezado"/>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405961032"/>
      <w:docPartObj>
        <w:docPartGallery w:val="Page Numbers (Top of Page)"/>
        <w:docPartUnique/>
      </w:docPartObj>
    </w:sdtPr>
    <w:sdtEndPr>
      <w:rPr>
        <w:rStyle w:val="Nmerodepgina"/>
      </w:rPr>
    </w:sdtEndPr>
    <w:sdtContent>
      <w:p w14:paraId="39F8A834" w14:textId="6104E8BA" w:rsidR="002179A8" w:rsidRDefault="002179A8" w:rsidP="004F392D">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1768B3">
          <w:rPr>
            <w:rStyle w:val="Nmerodepgina"/>
            <w:noProof/>
          </w:rPr>
          <w:t>47</w:t>
        </w:r>
        <w:r>
          <w:rPr>
            <w:rStyle w:val="Nmerodepgina"/>
          </w:rPr>
          <w:fldChar w:fldCharType="end"/>
        </w:r>
      </w:p>
    </w:sdtContent>
  </w:sdt>
  <w:p w14:paraId="135999A0" w14:textId="77777777" w:rsidR="002179A8" w:rsidRDefault="002179A8" w:rsidP="005002EF">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A727D"/>
    <w:multiLevelType w:val="multilevel"/>
    <w:tmpl w:val="CC4886D2"/>
    <w:styleLink w:val="WWNum8"/>
    <w:lvl w:ilvl="0">
      <w:numFmt w:val="bullet"/>
      <w:lvlText w:val=""/>
      <w:lvlJc w:val="left"/>
      <w:pPr>
        <w:ind w:left="1140" w:hanging="360"/>
      </w:pPr>
      <w:rPr>
        <w:rFonts w:ascii="Symbol" w:hAnsi="Symbol"/>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1" w15:restartNumberingAfterBreak="0">
    <w:nsid w:val="093B5CB4"/>
    <w:multiLevelType w:val="multilevel"/>
    <w:tmpl w:val="45A2AD3E"/>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D9C48AA"/>
    <w:multiLevelType w:val="multilevel"/>
    <w:tmpl w:val="2948060E"/>
    <w:numStyleLink w:val="WWNum1"/>
  </w:abstractNum>
  <w:abstractNum w:abstractNumId="3" w15:restartNumberingAfterBreak="0">
    <w:nsid w:val="0FC64E96"/>
    <w:multiLevelType w:val="hybridMultilevel"/>
    <w:tmpl w:val="0F4ADAB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03E3F11"/>
    <w:multiLevelType w:val="multilevel"/>
    <w:tmpl w:val="5308C2C0"/>
    <w:styleLink w:val="WWNum3"/>
    <w:lvl w:ilvl="0">
      <w:start w:val="1"/>
      <w:numFmt w:val="lowerLetter"/>
      <w:lvlText w:val="%1)"/>
      <w:lvlJc w:val="left"/>
      <w:pPr>
        <w:ind w:left="405" w:hanging="360"/>
      </w:pPr>
      <w:rPr>
        <w:rFonts w:cs="Times New Roman"/>
        <w:sz w:val="24"/>
      </w:rPr>
    </w:lvl>
    <w:lvl w:ilvl="1">
      <w:start w:val="1"/>
      <w:numFmt w:val="lowerLetter"/>
      <w:lvlText w:val="%2."/>
      <w:lvlJc w:val="left"/>
      <w:pPr>
        <w:ind w:left="1125" w:hanging="360"/>
      </w:pPr>
    </w:lvl>
    <w:lvl w:ilvl="2">
      <w:start w:val="1"/>
      <w:numFmt w:val="lowerRoman"/>
      <w:lvlText w:val="%1.%2.%3."/>
      <w:lvlJc w:val="right"/>
      <w:pPr>
        <w:ind w:left="1845" w:hanging="180"/>
      </w:pPr>
    </w:lvl>
    <w:lvl w:ilvl="3">
      <w:start w:val="1"/>
      <w:numFmt w:val="decimal"/>
      <w:lvlText w:val="%1.%2.%3.%4."/>
      <w:lvlJc w:val="left"/>
      <w:pPr>
        <w:ind w:left="2565" w:hanging="360"/>
      </w:pPr>
    </w:lvl>
    <w:lvl w:ilvl="4">
      <w:start w:val="1"/>
      <w:numFmt w:val="lowerLetter"/>
      <w:lvlText w:val="%1.%2.%3.%4.%5."/>
      <w:lvlJc w:val="left"/>
      <w:pPr>
        <w:ind w:left="3285" w:hanging="360"/>
      </w:pPr>
    </w:lvl>
    <w:lvl w:ilvl="5">
      <w:start w:val="1"/>
      <w:numFmt w:val="lowerRoman"/>
      <w:lvlText w:val="%1.%2.%3.%4.%5.%6."/>
      <w:lvlJc w:val="right"/>
      <w:pPr>
        <w:ind w:left="4005" w:hanging="180"/>
      </w:pPr>
    </w:lvl>
    <w:lvl w:ilvl="6">
      <w:start w:val="1"/>
      <w:numFmt w:val="decimal"/>
      <w:lvlText w:val="%1.%2.%3.%4.%5.%6.%7."/>
      <w:lvlJc w:val="left"/>
      <w:pPr>
        <w:ind w:left="4725" w:hanging="360"/>
      </w:pPr>
    </w:lvl>
    <w:lvl w:ilvl="7">
      <w:start w:val="1"/>
      <w:numFmt w:val="lowerLetter"/>
      <w:lvlText w:val="%1.%2.%3.%4.%5.%6.%7.%8."/>
      <w:lvlJc w:val="left"/>
      <w:pPr>
        <w:ind w:left="5445" w:hanging="360"/>
      </w:pPr>
    </w:lvl>
    <w:lvl w:ilvl="8">
      <w:start w:val="1"/>
      <w:numFmt w:val="lowerRoman"/>
      <w:lvlText w:val="%1.%2.%3.%4.%5.%6.%7.%8.%9."/>
      <w:lvlJc w:val="right"/>
      <w:pPr>
        <w:ind w:left="6165" w:hanging="180"/>
      </w:pPr>
    </w:lvl>
  </w:abstractNum>
  <w:abstractNum w:abstractNumId="5" w15:restartNumberingAfterBreak="0">
    <w:nsid w:val="16211337"/>
    <w:multiLevelType w:val="hybridMultilevel"/>
    <w:tmpl w:val="B44A1EA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6CA6EE1"/>
    <w:multiLevelType w:val="multilevel"/>
    <w:tmpl w:val="1BF01414"/>
    <w:lvl w:ilvl="0">
      <w:start w:val="4"/>
      <w:numFmt w:val="decimal"/>
      <w:lvlText w:val="%1"/>
      <w:lvlJc w:val="left"/>
      <w:pPr>
        <w:ind w:left="360" w:hanging="360"/>
      </w:pPr>
      <w:rPr>
        <w:rFonts w:cs="Calibri" w:hint="default"/>
      </w:rPr>
    </w:lvl>
    <w:lvl w:ilvl="1">
      <w:start w:val="2"/>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abstractNum w:abstractNumId="7" w15:restartNumberingAfterBreak="0">
    <w:nsid w:val="1C435B5B"/>
    <w:multiLevelType w:val="multilevel"/>
    <w:tmpl w:val="1C66F1C0"/>
    <w:styleLink w:val="WWNum2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D91185"/>
    <w:multiLevelType w:val="multilevel"/>
    <w:tmpl w:val="8E303FB6"/>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6402365"/>
    <w:multiLevelType w:val="hybridMultilevel"/>
    <w:tmpl w:val="1638B65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0" w15:restartNumberingAfterBreak="0">
    <w:nsid w:val="26886A08"/>
    <w:multiLevelType w:val="multilevel"/>
    <w:tmpl w:val="2948060E"/>
    <w:styleLink w:val="WWNum1"/>
    <w:lvl w:ilvl="0">
      <w:start w:val="1"/>
      <w:numFmt w:val="decimal"/>
      <w:lvlText w:val="%1."/>
      <w:lvlJc w:val="left"/>
      <w:pPr>
        <w:ind w:left="720" w:hanging="360"/>
      </w:pPr>
    </w:lvl>
    <w:lvl w:ilvl="1">
      <w:start w:val="5"/>
      <w:numFmt w:val="decimal"/>
      <w:lvlText w:val="%1.%2"/>
      <w:lvlJc w:val="left"/>
      <w:pPr>
        <w:ind w:left="720" w:hanging="360"/>
      </w:pPr>
    </w:lvl>
    <w:lvl w:ilvl="2">
      <w:start w:val="1"/>
      <w:numFmt w:val="upperLetter"/>
      <w:lvlText w:val="%1.%2.%3"/>
      <w:lvlJc w:val="left"/>
      <w:pPr>
        <w:ind w:left="1080" w:hanging="720"/>
      </w:pPr>
    </w:lvl>
    <w:lvl w:ilvl="3">
      <w:start w:val="1"/>
      <w:numFmt w:val="upperLetter"/>
      <w:lvlText w:val="%1.%2.%3.%4"/>
      <w:lvlJc w:val="left"/>
      <w:pPr>
        <w:ind w:left="1080" w:hanging="720"/>
      </w:pPr>
    </w:lvl>
    <w:lvl w:ilvl="4">
      <w:start w:val="1"/>
      <w:numFmt w:val="upperLetter"/>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2CE34B0D"/>
    <w:multiLevelType w:val="multilevel"/>
    <w:tmpl w:val="E5602B68"/>
    <w:styleLink w:val="WWNum15"/>
    <w:lvl w:ilvl="0">
      <w:numFmt w:val="bullet"/>
      <w:lvlText w:val=""/>
      <w:lvlJc w:val="left"/>
      <w:pPr>
        <w:ind w:left="720" w:hanging="360"/>
      </w:pPr>
      <w:rPr>
        <w:rFonts w:ascii="Symbol" w:hAnsi="Symbol"/>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47B0D4F"/>
    <w:multiLevelType w:val="multilevel"/>
    <w:tmpl w:val="6B809BA6"/>
    <w:styleLink w:val="WWNum1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B8D41A9"/>
    <w:multiLevelType w:val="multilevel"/>
    <w:tmpl w:val="851AC8F0"/>
    <w:styleLink w:val="WWNum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8A23612"/>
    <w:multiLevelType w:val="hybridMultilevel"/>
    <w:tmpl w:val="169C9CF8"/>
    <w:lvl w:ilvl="0" w:tplc="040A0001">
      <w:start w:val="1"/>
      <w:numFmt w:val="bullet"/>
      <w:lvlText w:val=""/>
      <w:lvlJc w:val="left"/>
      <w:pPr>
        <w:ind w:left="1429" w:hanging="360"/>
      </w:pPr>
      <w:rPr>
        <w:rFonts w:ascii="Symbol" w:hAnsi="Symbol" w:hint="default"/>
      </w:rPr>
    </w:lvl>
    <w:lvl w:ilvl="1" w:tplc="040A0003" w:tentative="1">
      <w:start w:val="1"/>
      <w:numFmt w:val="bullet"/>
      <w:lvlText w:val="o"/>
      <w:lvlJc w:val="left"/>
      <w:pPr>
        <w:ind w:left="2149" w:hanging="360"/>
      </w:pPr>
      <w:rPr>
        <w:rFonts w:ascii="Courier New" w:hAnsi="Courier New" w:cs="Courier New" w:hint="default"/>
      </w:rPr>
    </w:lvl>
    <w:lvl w:ilvl="2" w:tplc="040A0005" w:tentative="1">
      <w:start w:val="1"/>
      <w:numFmt w:val="bullet"/>
      <w:lvlText w:val=""/>
      <w:lvlJc w:val="left"/>
      <w:pPr>
        <w:ind w:left="2869" w:hanging="360"/>
      </w:pPr>
      <w:rPr>
        <w:rFonts w:ascii="Wingdings" w:hAnsi="Wingdings" w:hint="default"/>
      </w:rPr>
    </w:lvl>
    <w:lvl w:ilvl="3" w:tplc="040A0001" w:tentative="1">
      <w:start w:val="1"/>
      <w:numFmt w:val="bullet"/>
      <w:lvlText w:val=""/>
      <w:lvlJc w:val="left"/>
      <w:pPr>
        <w:ind w:left="3589" w:hanging="360"/>
      </w:pPr>
      <w:rPr>
        <w:rFonts w:ascii="Symbol" w:hAnsi="Symbol" w:hint="default"/>
      </w:rPr>
    </w:lvl>
    <w:lvl w:ilvl="4" w:tplc="040A0003" w:tentative="1">
      <w:start w:val="1"/>
      <w:numFmt w:val="bullet"/>
      <w:lvlText w:val="o"/>
      <w:lvlJc w:val="left"/>
      <w:pPr>
        <w:ind w:left="4309" w:hanging="360"/>
      </w:pPr>
      <w:rPr>
        <w:rFonts w:ascii="Courier New" w:hAnsi="Courier New" w:cs="Courier New" w:hint="default"/>
      </w:rPr>
    </w:lvl>
    <w:lvl w:ilvl="5" w:tplc="040A0005" w:tentative="1">
      <w:start w:val="1"/>
      <w:numFmt w:val="bullet"/>
      <w:lvlText w:val=""/>
      <w:lvlJc w:val="left"/>
      <w:pPr>
        <w:ind w:left="5029" w:hanging="360"/>
      </w:pPr>
      <w:rPr>
        <w:rFonts w:ascii="Wingdings" w:hAnsi="Wingdings" w:hint="default"/>
      </w:rPr>
    </w:lvl>
    <w:lvl w:ilvl="6" w:tplc="040A0001" w:tentative="1">
      <w:start w:val="1"/>
      <w:numFmt w:val="bullet"/>
      <w:lvlText w:val=""/>
      <w:lvlJc w:val="left"/>
      <w:pPr>
        <w:ind w:left="5749" w:hanging="360"/>
      </w:pPr>
      <w:rPr>
        <w:rFonts w:ascii="Symbol" w:hAnsi="Symbol" w:hint="default"/>
      </w:rPr>
    </w:lvl>
    <w:lvl w:ilvl="7" w:tplc="040A0003" w:tentative="1">
      <w:start w:val="1"/>
      <w:numFmt w:val="bullet"/>
      <w:lvlText w:val="o"/>
      <w:lvlJc w:val="left"/>
      <w:pPr>
        <w:ind w:left="6469" w:hanging="360"/>
      </w:pPr>
      <w:rPr>
        <w:rFonts w:ascii="Courier New" w:hAnsi="Courier New" w:cs="Courier New" w:hint="default"/>
      </w:rPr>
    </w:lvl>
    <w:lvl w:ilvl="8" w:tplc="040A0005" w:tentative="1">
      <w:start w:val="1"/>
      <w:numFmt w:val="bullet"/>
      <w:lvlText w:val=""/>
      <w:lvlJc w:val="left"/>
      <w:pPr>
        <w:ind w:left="7189" w:hanging="360"/>
      </w:pPr>
      <w:rPr>
        <w:rFonts w:ascii="Wingdings" w:hAnsi="Wingdings" w:hint="default"/>
      </w:rPr>
    </w:lvl>
  </w:abstractNum>
  <w:abstractNum w:abstractNumId="15" w15:restartNumberingAfterBreak="0">
    <w:nsid w:val="49FB78BD"/>
    <w:multiLevelType w:val="multilevel"/>
    <w:tmpl w:val="9D5A1198"/>
    <w:styleLink w:val="WWNum16"/>
    <w:lvl w:ilvl="0">
      <w:start w:val="1"/>
      <w:numFmt w:val="lowerLetter"/>
      <w:lvlText w:val="%1)"/>
      <w:lvlJc w:val="left"/>
      <w:pPr>
        <w:ind w:left="405" w:hanging="360"/>
      </w:pPr>
      <w:rPr>
        <w:rFonts w:cs="Times New Roman"/>
        <w:sz w:val="24"/>
      </w:rPr>
    </w:lvl>
    <w:lvl w:ilvl="1">
      <w:start w:val="1"/>
      <w:numFmt w:val="lowerLetter"/>
      <w:lvlText w:val="%2."/>
      <w:lvlJc w:val="left"/>
      <w:pPr>
        <w:ind w:left="1125" w:hanging="360"/>
      </w:pPr>
    </w:lvl>
    <w:lvl w:ilvl="2">
      <w:start w:val="1"/>
      <w:numFmt w:val="lowerRoman"/>
      <w:lvlText w:val="%1.%2.%3."/>
      <w:lvlJc w:val="right"/>
      <w:pPr>
        <w:ind w:left="1845" w:hanging="180"/>
      </w:pPr>
    </w:lvl>
    <w:lvl w:ilvl="3">
      <w:start w:val="1"/>
      <w:numFmt w:val="decimal"/>
      <w:lvlText w:val="%1.%2.%3.%4."/>
      <w:lvlJc w:val="left"/>
      <w:pPr>
        <w:ind w:left="2565" w:hanging="360"/>
      </w:pPr>
    </w:lvl>
    <w:lvl w:ilvl="4">
      <w:start w:val="1"/>
      <w:numFmt w:val="lowerLetter"/>
      <w:lvlText w:val="%1.%2.%3.%4.%5."/>
      <w:lvlJc w:val="left"/>
      <w:pPr>
        <w:ind w:left="3285" w:hanging="360"/>
      </w:pPr>
    </w:lvl>
    <w:lvl w:ilvl="5">
      <w:start w:val="1"/>
      <w:numFmt w:val="lowerRoman"/>
      <w:lvlText w:val="%1.%2.%3.%4.%5.%6."/>
      <w:lvlJc w:val="right"/>
      <w:pPr>
        <w:ind w:left="4005" w:hanging="180"/>
      </w:pPr>
    </w:lvl>
    <w:lvl w:ilvl="6">
      <w:start w:val="1"/>
      <w:numFmt w:val="decimal"/>
      <w:lvlText w:val="%1.%2.%3.%4.%5.%6.%7."/>
      <w:lvlJc w:val="left"/>
      <w:pPr>
        <w:ind w:left="4725" w:hanging="360"/>
      </w:pPr>
    </w:lvl>
    <w:lvl w:ilvl="7">
      <w:start w:val="1"/>
      <w:numFmt w:val="lowerLetter"/>
      <w:lvlText w:val="%1.%2.%3.%4.%5.%6.%7.%8."/>
      <w:lvlJc w:val="left"/>
      <w:pPr>
        <w:ind w:left="5445" w:hanging="360"/>
      </w:pPr>
    </w:lvl>
    <w:lvl w:ilvl="8">
      <w:start w:val="1"/>
      <w:numFmt w:val="lowerRoman"/>
      <w:lvlText w:val="%1.%2.%3.%4.%5.%6.%7.%8.%9."/>
      <w:lvlJc w:val="right"/>
      <w:pPr>
        <w:ind w:left="6165" w:hanging="180"/>
      </w:pPr>
    </w:lvl>
  </w:abstractNum>
  <w:abstractNum w:abstractNumId="16" w15:restartNumberingAfterBreak="0">
    <w:nsid w:val="4F57773A"/>
    <w:multiLevelType w:val="multilevel"/>
    <w:tmpl w:val="8A80F5B6"/>
    <w:styleLink w:val="WWNum6"/>
    <w:lvl w:ilvl="0">
      <w:numFmt w:val="bullet"/>
      <w:lvlText w:val=""/>
      <w:lvlJc w:val="left"/>
      <w:pPr>
        <w:ind w:left="1860" w:hanging="360"/>
      </w:pPr>
      <w:rPr>
        <w:rFonts w:ascii="Symbol" w:hAnsi="Symbol"/>
      </w:rPr>
    </w:lvl>
    <w:lvl w:ilvl="1">
      <w:numFmt w:val="bullet"/>
      <w:lvlText w:val="o"/>
      <w:lvlJc w:val="left"/>
      <w:pPr>
        <w:ind w:left="2580" w:hanging="360"/>
      </w:pPr>
      <w:rPr>
        <w:rFonts w:ascii="Courier New" w:hAnsi="Courier New" w:cs="Courier New"/>
      </w:rPr>
    </w:lvl>
    <w:lvl w:ilvl="2">
      <w:numFmt w:val="bullet"/>
      <w:lvlText w:val=""/>
      <w:lvlJc w:val="left"/>
      <w:pPr>
        <w:ind w:left="3300" w:hanging="360"/>
      </w:pPr>
      <w:rPr>
        <w:rFonts w:ascii="Wingdings" w:hAnsi="Wingdings"/>
      </w:rPr>
    </w:lvl>
    <w:lvl w:ilvl="3">
      <w:numFmt w:val="bullet"/>
      <w:lvlText w:val=""/>
      <w:lvlJc w:val="left"/>
      <w:pPr>
        <w:ind w:left="4020" w:hanging="360"/>
      </w:pPr>
      <w:rPr>
        <w:rFonts w:ascii="Symbol" w:hAnsi="Symbol"/>
      </w:rPr>
    </w:lvl>
    <w:lvl w:ilvl="4">
      <w:numFmt w:val="bullet"/>
      <w:lvlText w:val="o"/>
      <w:lvlJc w:val="left"/>
      <w:pPr>
        <w:ind w:left="4740" w:hanging="360"/>
      </w:pPr>
      <w:rPr>
        <w:rFonts w:ascii="Courier New" w:hAnsi="Courier New" w:cs="Courier New"/>
      </w:rPr>
    </w:lvl>
    <w:lvl w:ilvl="5">
      <w:numFmt w:val="bullet"/>
      <w:lvlText w:val=""/>
      <w:lvlJc w:val="left"/>
      <w:pPr>
        <w:ind w:left="5460" w:hanging="360"/>
      </w:pPr>
      <w:rPr>
        <w:rFonts w:ascii="Wingdings" w:hAnsi="Wingdings"/>
      </w:rPr>
    </w:lvl>
    <w:lvl w:ilvl="6">
      <w:numFmt w:val="bullet"/>
      <w:lvlText w:val=""/>
      <w:lvlJc w:val="left"/>
      <w:pPr>
        <w:ind w:left="6180" w:hanging="360"/>
      </w:pPr>
      <w:rPr>
        <w:rFonts w:ascii="Symbol" w:hAnsi="Symbol"/>
      </w:rPr>
    </w:lvl>
    <w:lvl w:ilvl="7">
      <w:numFmt w:val="bullet"/>
      <w:lvlText w:val="o"/>
      <w:lvlJc w:val="left"/>
      <w:pPr>
        <w:ind w:left="6900" w:hanging="360"/>
      </w:pPr>
      <w:rPr>
        <w:rFonts w:ascii="Courier New" w:hAnsi="Courier New" w:cs="Courier New"/>
      </w:rPr>
    </w:lvl>
    <w:lvl w:ilvl="8">
      <w:numFmt w:val="bullet"/>
      <w:lvlText w:val=""/>
      <w:lvlJc w:val="left"/>
      <w:pPr>
        <w:ind w:left="7620" w:hanging="360"/>
      </w:pPr>
      <w:rPr>
        <w:rFonts w:ascii="Wingdings" w:hAnsi="Wingdings"/>
      </w:rPr>
    </w:lvl>
  </w:abstractNum>
  <w:abstractNum w:abstractNumId="17" w15:restartNumberingAfterBreak="0">
    <w:nsid w:val="4FBA56BC"/>
    <w:multiLevelType w:val="multilevel"/>
    <w:tmpl w:val="7FB6EC4C"/>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FE55D83"/>
    <w:multiLevelType w:val="multilevel"/>
    <w:tmpl w:val="52FE4C78"/>
    <w:lvl w:ilvl="0">
      <w:start w:val="4"/>
      <w:numFmt w:val="decimal"/>
      <w:lvlText w:val="%1"/>
      <w:lvlJc w:val="left"/>
      <w:pPr>
        <w:ind w:left="360" w:hanging="360"/>
      </w:pPr>
      <w:rPr>
        <w:rFonts w:cs="Calibri" w:hint="default"/>
      </w:rPr>
    </w:lvl>
    <w:lvl w:ilvl="1">
      <w:start w:val="2"/>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abstractNum w:abstractNumId="19" w15:restartNumberingAfterBreak="0">
    <w:nsid w:val="56A67199"/>
    <w:multiLevelType w:val="multilevel"/>
    <w:tmpl w:val="8CDA1670"/>
    <w:styleLink w:val="WWNum12"/>
    <w:lvl w:ilvl="0">
      <w:start w:val="1"/>
      <w:numFmt w:val="decimal"/>
      <w:lvlText w:val="%1."/>
      <w:lvlJc w:val="left"/>
      <w:pPr>
        <w:ind w:left="502"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7650E28"/>
    <w:multiLevelType w:val="multilevel"/>
    <w:tmpl w:val="77E4FF64"/>
    <w:styleLink w:val="WWNum1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5C0C00B3"/>
    <w:multiLevelType w:val="multilevel"/>
    <w:tmpl w:val="F1B08B42"/>
    <w:styleLink w:val="WWNum10"/>
    <w:lvl w:ilvl="0">
      <w:numFmt w:val="bullet"/>
      <w:lvlText w:val=""/>
      <w:lvlJc w:val="left"/>
      <w:pPr>
        <w:ind w:left="360" w:hanging="360"/>
      </w:pPr>
      <w:rPr>
        <w:rFonts w:ascii="Symbol" w:hAnsi="Symbol" w:cs="Symbol"/>
        <w:sz w:val="22"/>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2" w15:restartNumberingAfterBreak="0">
    <w:nsid w:val="5D10663D"/>
    <w:multiLevelType w:val="multilevel"/>
    <w:tmpl w:val="FBB03B8C"/>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F940591"/>
    <w:multiLevelType w:val="multilevel"/>
    <w:tmpl w:val="2948060E"/>
    <w:numStyleLink w:val="WWNum1"/>
  </w:abstractNum>
  <w:abstractNum w:abstractNumId="24" w15:restartNumberingAfterBreak="0">
    <w:nsid w:val="613D1FAC"/>
    <w:multiLevelType w:val="multilevel"/>
    <w:tmpl w:val="925A302A"/>
    <w:styleLink w:val="WW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5" w15:restartNumberingAfterBreak="0">
    <w:nsid w:val="630209C8"/>
    <w:multiLevelType w:val="multilevel"/>
    <w:tmpl w:val="FA44955A"/>
    <w:styleLink w:val="WWNum2"/>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6" w15:restartNumberingAfterBreak="0">
    <w:nsid w:val="684F66B5"/>
    <w:multiLevelType w:val="multilevel"/>
    <w:tmpl w:val="66AC2F3E"/>
    <w:styleLink w:val="WWNum9"/>
    <w:lvl w:ilvl="0">
      <w:numFmt w:val="bullet"/>
      <w:lvlText w:val=""/>
      <w:lvlJc w:val="left"/>
      <w:pPr>
        <w:ind w:left="765" w:hanging="360"/>
      </w:pPr>
      <w:rPr>
        <w:rFonts w:ascii="Symbol" w:hAnsi="Symbol"/>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27" w15:restartNumberingAfterBreak="0">
    <w:nsid w:val="6A120215"/>
    <w:multiLevelType w:val="multilevel"/>
    <w:tmpl w:val="15769D0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B3C1E31"/>
    <w:multiLevelType w:val="multilevel"/>
    <w:tmpl w:val="EC8083F4"/>
    <w:styleLink w:val="WWNum11"/>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9" w15:restartNumberingAfterBreak="0">
    <w:nsid w:val="749E328C"/>
    <w:multiLevelType w:val="multilevel"/>
    <w:tmpl w:val="DDA0C73E"/>
    <w:styleLink w:val="WWNum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25"/>
  </w:num>
  <w:num w:numId="3">
    <w:abstractNumId w:val="4"/>
  </w:num>
  <w:num w:numId="4">
    <w:abstractNumId w:val="24"/>
  </w:num>
  <w:num w:numId="5">
    <w:abstractNumId w:val="1"/>
  </w:num>
  <w:num w:numId="6">
    <w:abstractNumId w:val="16"/>
  </w:num>
  <w:num w:numId="7">
    <w:abstractNumId w:val="29"/>
  </w:num>
  <w:num w:numId="8">
    <w:abstractNumId w:val="0"/>
  </w:num>
  <w:num w:numId="9">
    <w:abstractNumId w:val="26"/>
    <w:lvlOverride w:ilvl="0">
      <w:lvl w:ilvl="0">
        <w:numFmt w:val="bullet"/>
        <w:lvlText w:val=""/>
        <w:lvlJc w:val="left"/>
        <w:pPr>
          <w:ind w:left="765" w:hanging="360"/>
        </w:pPr>
        <w:rPr>
          <w:rFonts w:ascii="Symbol" w:hAnsi="Symbol"/>
          <w:color w:val="auto"/>
        </w:rPr>
      </w:lvl>
    </w:lvlOverride>
  </w:num>
  <w:num w:numId="10">
    <w:abstractNumId w:val="21"/>
  </w:num>
  <w:num w:numId="11">
    <w:abstractNumId w:val="28"/>
  </w:num>
  <w:num w:numId="12">
    <w:abstractNumId w:val="19"/>
  </w:num>
  <w:num w:numId="13">
    <w:abstractNumId w:val="8"/>
  </w:num>
  <w:num w:numId="14">
    <w:abstractNumId w:val="20"/>
  </w:num>
  <w:num w:numId="15">
    <w:abstractNumId w:val="11"/>
  </w:num>
  <w:num w:numId="16">
    <w:abstractNumId w:val="15"/>
  </w:num>
  <w:num w:numId="17">
    <w:abstractNumId w:val="12"/>
  </w:num>
  <w:num w:numId="18">
    <w:abstractNumId w:val="22"/>
  </w:num>
  <w:num w:numId="19">
    <w:abstractNumId w:val="27"/>
  </w:num>
  <w:num w:numId="20">
    <w:abstractNumId w:val="13"/>
  </w:num>
  <w:num w:numId="21">
    <w:abstractNumId w:val="7"/>
  </w:num>
  <w:num w:numId="22">
    <w:abstractNumId w:val="7"/>
  </w:num>
  <w:num w:numId="23">
    <w:abstractNumId w:val="24"/>
  </w:num>
  <w:num w:numId="24">
    <w:abstractNumId w:val="1"/>
    <w:lvlOverride w:ilvl="0">
      <w:startOverride w:val="1"/>
    </w:lvlOverride>
  </w:num>
  <w:num w:numId="25">
    <w:abstractNumId w:val="10"/>
    <w:lvlOverride w:ilvl="0">
      <w:startOverride w:val="1"/>
    </w:lvlOverride>
  </w:num>
  <w:num w:numId="26">
    <w:abstractNumId w:val="8"/>
  </w:num>
  <w:num w:numId="27">
    <w:abstractNumId w:val="20"/>
  </w:num>
  <w:num w:numId="28">
    <w:abstractNumId w:val="25"/>
  </w:num>
  <w:num w:numId="29">
    <w:abstractNumId w:val="4"/>
    <w:lvlOverride w:ilvl="0">
      <w:startOverride w:val="1"/>
    </w:lvlOverride>
  </w:num>
  <w:num w:numId="30">
    <w:abstractNumId w:val="11"/>
  </w:num>
  <w:num w:numId="31">
    <w:abstractNumId w:val="0"/>
  </w:num>
  <w:num w:numId="32">
    <w:abstractNumId w:val="16"/>
  </w:num>
  <w:num w:numId="33">
    <w:abstractNumId w:val="15"/>
    <w:lvlOverride w:ilvl="0">
      <w:startOverride w:val="1"/>
    </w:lvlOverride>
  </w:num>
  <w:num w:numId="34">
    <w:abstractNumId w:val="12"/>
  </w:num>
  <w:num w:numId="35">
    <w:abstractNumId w:val="22"/>
  </w:num>
  <w:num w:numId="36">
    <w:abstractNumId w:val="29"/>
  </w:num>
  <w:num w:numId="37">
    <w:abstractNumId w:val="27"/>
  </w:num>
  <w:num w:numId="38">
    <w:abstractNumId w:val="13"/>
  </w:num>
  <w:num w:numId="39">
    <w:abstractNumId w:val="19"/>
    <w:lvlOverride w:ilvl="0">
      <w:startOverride w:val="1"/>
    </w:lvlOverride>
  </w:num>
  <w:num w:numId="40">
    <w:abstractNumId w:val="26"/>
  </w:num>
  <w:num w:numId="41">
    <w:abstractNumId w:val="28"/>
    <w:lvlOverride w:ilvl="0">
      <w:startOverride w:val="3"/>
    </w:lvlOverride>
  </w:num>
  <w:num w:numId="42">
    <w:abstractNumId w:val="6"/>
  </w:num>
  <w:num w:numId="43">
    <w:abstractNumId w:val="18"/>
  </w:num>
  <w:num w:numId="44">
    <w:abstractNumId w:val="14"/>
  </w:num>
  <w:num w:numId="45">
    <w:abstractNumId w:val="3"/>
  </w:num>
  <w:num w:numId="46">
    <w:abstractNumId w:val="5"/>
  </w:num>
  <w:num w:numId="47">
    <w:abstractNumId w:val="17"/>
  </w:num>
  <w:num w:numId="48">
    <w:abstractNumId w:val="9"/>
  </w:num>
  <w:num w:numId="49">
    <w:abstractNumId w:val="2"/>
    <w:lvlOverride w:ilvl="0">
      <w:lvl w:ilvl="0">
        <w:start w:val="1"/>
        <w:numFmt w:val="decimal"/>
        <w:lvlText w:val="%1."/>
        <w:lvlJc w:val="left"/>
        <w:pPr>
          <w:ind w:left="720" w:hanging="360"/>
        </w:pPr>
        <w:rPr>
          <w:b w:val="0"/>
        </w:rPr>
      </w:lvl>
    </w:lvlOverride>
  </w:num>
  <w:num w:numId="50">
    <w:abstractNumId w:val="23"/>
    <w:lvlOverride w:ilvl="0">
      <w:lvl w:ilvl="0">
        <w:start w:val="1"/>
        <w:numFmt w:val="decimal"/>
        <w:lvlText w:val="%1."/>
        <w:lvlJc w:val="left"/>
        <w:pPr>
          <w:ind w:left="720" w:hanging="360"/>
        </w:pPr>
        <w:rPr>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342"/>
    <w:rsid w:val="000111A4"/>
    <w:rsid w:val="0002037D"/>
    <w:rsid w:val="0002385C"/>
    <w:rsid w:val="00030E7D"/>
    <w:rsid w:val="000424F2"/>
    <w:rsid w:val="000450C9"/>
    <w:rsid w:val="00053910"/>
    <w:rsid w:val="0006577A"/>
    <w:rsid w:val="00070120"/>
    <w:rsid w:val="00071417"/>
    <w:rsid w:val="00072688"/>
    <w:rsid w:val="000C0AC0"/>
    <w:rsid w:val="000C267D"/>
    <w:rsid w:val="000C316D"/>
    <w:rsid w:val="000C6937"/>
    <w:rsid w:val="000E1FE9"/>
    <w:rsid w:val="000E3C84"/>
    <w:rsid w:val="000F0B36"/>
    <w:rsid w:val="00103517"/>
    <w:rsid w:val="001269F8"/>
    <w:rsid w:val="00132D7C"/>
    <w:rsid w:val="00155A39"/>
    <w:rsid w:val="00163F59"/>
    <w:rsid w:val="00167F46"/>
    <w:rsid w:val="00172942"/>
    <w:rsid w:val="00173625"/>
    <w:rsid w:val="001768B3"/>
    <w:rsid w:val="00184B17"/>
    <w:rsid w:val="00195D15"/>
    <w:rsid w:val="001B0B1A"/>
    <w:rsid w:val="001E131F"/>
    <w:rsid w:val="001E1E7E"/>
    <w:rsid w:val="001E3CDB"/>
    <w:rsid w:val="002029C9"/>
    <w:rsid w:val="00212D15"/>
    <w:rsid w:val="00215EB7"/>
    <w:rsid w:val="002179A8"/>
    <w:rsid w:val="00230977"/>
    <w:rsid w:val="00231C74"/>
    <w:rsid w:val="002358F9"/>
    <w:rsid w:val="00243E38"/>
    <w:rsid w:val="00254F43"/>
    <w:rsid w:val="00264BCC"/>
    <w:rsid w:val="002676B4"/>
    <w:rsid w:val="00276163"/>
    <w:rsid w:val="002A4C9C"/>
    <w:rsid w:val="002A594B"/>
    <w:rsid w:val="002C0E44"/>
    <w:rsid w:val="002C5FD8"/>
    <w:rsid w:val="002C77E8"/>
    <w:rsid w:val="002F3FBC"/>
    <w:rsid w:val="00307AFC"/>
    <w:rsid w:val="003123F9"/>
    <w:rsid w:val="0031495E"/>
    <w:rsid w:val="00322C3B"/>
    <w:rsid w:val="0032462B"/>
    <w:rsid w:val="00333D21"/>
    <w:rsid w:val="003475E8"/>
    <w:rsid w:val="003476F3"/>
    <w:rsid w:val="003511F0"/>
    <w:rsid w:val="0036349E"/>
    <w:rsid w:val="00380224"/>
    <w:rsid w:val="00381AFA"/>
    <w:rsid w:val="00384F50"/>
    <w:rsid w:val="00385EDB"/>
    <w:rsid w:val="00387DF0"/>
    <w:rsid w:val="003A1A8A"/>
    <w:rsid w:val="003A23F6"/>
    <w:rsid w:val="003A361B"/>
    <w:rsid w:val="003B5AC5"/>
    <w:rsid w:val="003B5F1C"/>
    <w:rsid w:val="003C36CD"/>
    <w:rsid w:val="003C630E"/>
    <w:rsid w:val="003D5D51"/>
    <w:rsid w:val="003E0B15"/>
    <w:rsid w:val="003E1162"/>
    <w:rsid w:val="003E4F94"/>
    <w:rsid w:val="003E55D9"/>
    <w:rsid w:val="003F123E"/>
    <w:rsid w:val="003F587A"/>
    <w:rsid w:val="00422DE3"/>
    <w:rsid w:val="00435CC1"/>
    <w:rsid w:val="00437E41"/>
    <w:rsid w:val="00440AB3"/>
    <w:rsid w:val="00450544"/>
    <w:rsid w:val="00453B76"/>
    <w:rsid w:val="00466686"/>
    <w:rsid w:val="0047152B"/>
    <w:rsid w:val="004A147C"/>
    <w:rsid w:val="004A680E"/>
    <w:rsid w:val="004B20A1"/>
    <w:rsid w:val="004B2DC4"/>
    <w:rsid w:val="004B368F"/>
    <w:rsid w:val="004D3AC2"/>
    <w:rsid w:val="004F20B7"/>
    <w:rsid w:val="004F392D"/>
    <w:rsid w:val="005002EF"/>
    <w:rsid w:val="00503B02"/>
    <w:rsid w:val="00504CD3"/>
    <w:rsid w:val="00506621"/>
    <w:rsid w:val="00510938"/>
    <w:rsid w:val="005327AF"/>
    <w:rsid w:val="00545120"/>
    <w:rsid w:val="0055773C"/>
    <w:rsid w:val="00574818"/>
    <w:rsid w:val="0058483E"/>
    <w:rsid w:val="00591F4A"/>
    <w:rsid w:val="00593B17"/>
    <w:rsid w:val="00593E8B"/>
    <w:rsid w:val="005965BB"/>
    <w:rsid w:val="00596931"/>
    <w:rsid w:val="005A0B5A"/>
    <w:rsid w:val="005A1B36"/>
    <w:rsid w:val="005A2F6D"/>
    <w:rsid w:val="005B3FD5"/>
    <w:rsid w:val="005C1F8B"/>
    <w:rsid w:val="005C262D"/>
    <w:rsid w:val="005C28F7"/>
    <w:rsid w:val="005C6965"/>
    <w:rsid w:val="005D0CA2"/>
    <w:rsid w:val="005E0E18"/>
    <w:rsid w:val="005E48A1"/>
    <w:rsid w:val="005F159A"/>
    <w:rsid w:val="005F273D"/>
    <w:rsid w:val="005F5807"/>
    <w:rsid w:val="006169BE"/>
    <w:rsid w:val="00641664"/>
    <w:rsid w:val="00645E7D"/>
    <w:rsid w:val="00651B29"/>
    <w:rsid w:val="00654111"/>
    <w:rsid w:val="00663A34"/>
    <w:rsid w:val="006728E7"/>
    <w:rsid w:val="00684E0E"/>
    <w:rsid w:val="00685B1B"/>
    <w:rsid w:val="0068739F"/>
    <w:rsid w:val="0069152C"/>
    <w:rsid w:val="00696245"/>
    <w:rsid w:val="006B3ED7"/>
    <w:rsid w:val="006B595B"/>
    <w:rsid w:val="006C662B"/>
    <w:rsid w:val="006E4860"/>
    <w:rsid w:val="006E4D5D"/>
    <w:rsid w:val="006F24E5"/>
    <w:rsid w:val="00704759"/>
    <w:rsid w:val="00707FF6"/>
    <w:rsid w:val="0071163E"/>
    <w:rsid w:val="00714EC3"/>
    <w:rsid w:val="00720B35"/>
    <w:rsid w:val="0072157A"/>
    <w:rsid w:val="00721EFE"/>
    <w:rsid w:val="00732B5F"/>
    <w:rsid w:val="007344B3"/>
    <w:rsid w:val="00735550"/>
    <w:rsid w:val="0073607F"/>
    <w:rsid w:val="0075243C"/>
    <w:rsid w:val="0076344A"/>
    <w:rsid w:val="00765961"/>
    <w:rsid w:val="00790D02"/>
    <w:rsid w:val="007A44F2"/>
    <w:rsid w:val="007A49E0"/>
    <w:rsid w:val="007B19A8"/>
    <w:rsid w:val="007C000E"/>
    <w:rsid w:val="007C0BE3"/>
    <w:rsid w:val="007C61D7"/>
    <w:rsid w:val="007F1DEB"/>
    <w:rsid w:val="00807F87"/>
    <w:rsid w:val="0081049F"/>
    <w:rsid w:val="00811FCF"/>
    <w:rsid w:val="00813525"/>
    <w:rsid w:val="00813877"/>
    <w:rsid w:val="00813D4C"/>
    <w:rsid w:val="00817390"/>
    <w:rsid w:val="00817B81"/>
    <w:rsid w:val="0082240E"/>
    <w:rsid w:val="00833C35"/>
    <w:rsid w:val="008420FC"/>
    <w:rsid w:val="008627AC"/>
    <w:rsid w:val="00867EE9"/>
    <w:rsid w:val="008B3F4B"/>
    <w:rsid w:val="008E2B90"/>
    <w:rsid w:val="008E46EF"/>
    <w:rsid w:val="008E5C43"/>
    <w:rsid w:val="008F463A"/>
    <w:rsid w:val="00902A40"/>
    <w:rsid w:val="009141EB"/>
    <w:rsid w:val="009150D8"/>
    <w:rsid w:val="00921D8A"/>
    <w:rsid w:val="00922853"/>
    <w:rsid w:val="00931545"/>
    <w:rsid w:val="009453C4"/>
    <w:rsid w:val="00951B74"/>
    <w:rsid w:val="0095499B"/>
    <w:rsid w:val="00957B86"/>
    <w:rsid w:val="0098376C"/>
    <w:rsid w:val="00986017"/>
    <w:rsid w:val="0099029D"/>
    <w:rsid w:val="00992557"/>
    <w:rsid w:val="00995286"/>
    <w:rsid w:val="009A3C7A"/>
    <w:rsid w:val="009A5CE3"/>
    <w:rsid w:val="009B159C"/>
    <w:rsid w:val="009B31FA"/>
    <w:rsid w:val="009C7BE7"/>
    <w:rsid w:val="009D14FA"/>
    <w:rsid w:val="009D3BDC"/>
    <w:rsid w:val="009E06F0"/>
    <w:rsid w:val="009E507D"/>
    <w:rsid w:val="009F3B20"/>
    <w:rsid w:val="009F58A4"/>
    <w:rsid w:val="009F75B8"/>
    <w:rsid w:val="00A00A1D"/>
    <w:rsid w:val="00A05C6B"/>
    <w:rsid w:val="00A15245"/>
    <w:rsid w:val="00A20C3C"/>
    <w:rsid w:val="00A3126D"/>
    <w:rsid w:val="00A411CE"/>
    <w:rsid w:val="00A534FE"/>
    <w:rsid w:val="00A54FE8"/>
    <w:rsid w:val="00A71BCB"/>
    <w:rsid w:val="00A73BD6"/>
    <w:rsid w:val="00A74F2E"/>
    <w:rsid w:val="00A83E09"/>
    <w:rsid w:val="00A849B8"/>
    <w:rsid w:val="00AA4E33"/>
    <w:rsid w:val="00AB0289"/>
    <w:rsid w:val="00AB0E2C"/>
    <w:rsid w:val="00AC07D0"/>
    <w:rsid w:val="00AD04C5"/>
    <w:rsid w:val="00AE5785"/>
    <w:rsid w:val="00AF2D04"/>
    <w:rsid w:val="00B01CBD"/>
    <w:rsid w:val="00B053B7"/>
    <w:rsid w:val="00B23481"/>
    <w:rsid w:val="00B2668D"/>
    <w:rsid w:val="00B40D57"/>
    <w:rsid w:val="00B575E9"/>
    <w:rsid w:val="00B61987"/>
    <w:rsid w:val="00B61B65"/>
    <w:rsid w:val="00B704FA"/>
    <w:rsid w:val="00B767EA"/>
    <w:rsid w:val="00B870BC"/>
    <w:rsid w:val="00B9222F"/>
    <w:rsid w:val="00BA60B9"/>
    <w:rsid w:val="00BB4747"/>
    <w:rsid w:val="00BC1204"/>
    <w:rsid w:val="00BC5F08"/>
    <w:rsid w:val="00BD36F2"/>
    <w:rsid w:val="00BD4D27"/>
    <w:rsid w:val="00BD74EB"/>
    <w:rsid w:val="00C06592"/>
    <w:rsid w:val="00C218FD"/>
    <w:rsid w:val="00C32153"/>
    <w:rsid w:val="00C336F2"/>
    <w:rsid w:val="00C43731"/>
    <w:rsid w:val="00C5755A"/>
    <w:rsid w:val="00C75A2B"/>
    <w:rsid w:val="00C87FFD"/>
    <w:rsid w:val="00C921E1"/>
    <w:rsid w:val="00C93A98"/>
    <w:rsid w:val="00CB1D64"/>
    <w:rsid w:val="00CB76AF"/>
    <w:rsid w:val="00CD10F2"/>
    <w:rsid w:val="00CE07CD"/>
    <w:rsid w:val="00CE1426"/>
    <w:rsid w:val="00CE4B45"/>
    <w:rsid w:val="00D02179"/>
    <w:rsid w:val="00D1479E"/>
    <w:rsid w:val="00D23BC2"/>
    <w:rsid w:val="00D276AE"/>
    <w:rsid w:val="00D31DDB"/>
    <w:rsid w:val="00D33CA4"/>
    <w:rsid w:val="00D42DE8"/>
    <w:rsid w:val="00D57F68"/>
    <w:rsid w:val="00D640BE"/>
    <w:rsid w:val="00D72101"/>
    <w:rsid w:val="00D72FE0"/>
    <w:rsid w:val="00D73112"/>
    <w:rsid w:val="00D75232"/>
    <w:rsid w:val="00D83248"/>
    <w:rsid w:val="00D93810"/>
    <w:rsid w:val="00D96753"/>
    <w:rsid w:val="00D97F6B"/>
    <w:rsid w:val="00DA1078"/>
    <w:rsid w:val="00DB37B4"/>
    <w:rsid w:val="00DB507A"/>
    <w:rsid w:val="00DD7EE3"/>
    <w:rsid w:val="00DE2207"/>
    <w:rsid w:val="00DF5E42"/>
    <w:rsid w:val="00E004EE"/>
    <w:rsid w:val="00E10342"/>
    <w:rsid w:val="00E16413"/>
    <w:rsid w:val="00E378F6"/>
    <w:rsid w:val="00E43236"/>
    <w:rsid w:val="00E739E0"/>
    <w:rsid w:val="00EA675B"/>
    <w:rsid w:val="00EB1F77"/>
    <w:rsid w:val="00EB4244"/>
    <w:rsid w:val="00EE46B9"/>
    <w:rsid w:val="00F07C7E"/>
    <w:rsid w:val="00F13332"/>
    <w:rsid w:val="00F15EA6"/>
    <w:rsid w:val="00F248C5"/>
    <w:rsid w:val="00F335F0"/>
    <w:rsid w:val="00F51FF4"/>
    <w:rsid w:val="00F565BB"/>
    <w:rsid w:val="00F61CF2"/>
    <w:rsid w:val="00F7293C"/>
    <w:rsid w:val="00F74C4C"/>
    <w:rsid w:val="00F829F4"/>
    <w:rsid w:val="00F836AD"/>
    <w:rsid w:val="00F95D46"/>
    <w:rsid w:val="00FA0326"/>
    <w:rsid w:val="00FA07AC"/>
    <w:rsid w:val="00FA3C53"/>
    <w:rsid w:val="00FA42B9"/>
    <w:rsid w:val="00FB4D70"/>
    <w:rsid w:val="00FC423D"/>
    <w:rsid w:val="00FE2854"/>
    <w:rsid w:val="00FE5308"/>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70255"/>
  <w15:docId w15:val="{615B74B7-13E4-4D9E-91FF-2D55AFFDF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Calibri"/>
        <w:kern w:val="3"/>
        <w:sz w:val="22"/>
        <w:szCs w:val="22"/>
        <w:lang w:val="es-CR"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99B"/>
    <w:pPr>
      <w:spacing w:after="0" w:line="360" w:lineRule="auto"/>
      <w:ind w:firstLine="709"/>
      <w:jc w:val="both"/>
    </w:pPr>
    <w:rPr>
      <w:rFonts w:ascii="Times New Roman" w:hAnsi="Times New Roman"/>
      <w:sz w:val="24"/>
    </w:rPr>
  </w:style>
  <w:style w:type="paragraph" w:styleId="Ttulo1">
    <w:name w:val="heading 1"/>
    <w:basedOn w:val="Standard"/>
    <w:next w:val="Textbody"/>
    <w:rsid w:val="00EA675B"/>
    <w:pPr>
      <w:keepNext/>
      <w:keepLines/>
      <w:spacing w:after="0" w:line="360" w:lineRule="auto"/>
      <w:jc w:val="center"/>
      <w:outlineLvl w:val="0"/>
    </w:pPr>
    <w:rPr>
      <w:rFonts w:ascii="Times New Roman" w:eastAsia="Times New Roman" w:hAnsi="Times New Roman" w:cs="Times New Roman"/>
      <w:b/>
      <w:caps/>
      <w:sz w:val="24"/>
      <w:szCs w:val="32"/>
      <w:lang w:val="es-SV"/>
    </w:rPr>
  </w:style>
  <w:style w:type="paragraph" w:styleId="Ttulo2">
    <w:name w:val="heading 2"/>
    <w:basedOn w:val="Standard"/>
    <w:next w:val="Textbody"/>
    <w:rsid w:val="00EA675B"/>
    <w:pPr>
      <w:keepNext/>
      <w:keepLines/>
      <w:spacing w:after="0" w:line="360" w:lineRule="auto"/>
      <w:outlineLvl w:val="1"/>
    </w:pPr>
    <w:rPr>
      <w:rFonts w:ascii="Times New Roman" w:eastAsia="Times New Roman" w:hAnsi="Times New Roman" w:cs="Times New Roman"/>
      <w:b/>
      <w:sz w:val="24"/>
      <w:szCs w:val="26"/>
      <w:lang w:val="es-SV"/>
    </w:rPr>
  </w:style>
  <w:style w:type="paragraph" w:styleId="Ttulo3">
    <w:name w:val="heading 3"/>
    <w:basedOn w:val="Standard"/>
    <w:next w:val="Textbody"/>
    <w:rsid w:val="00450544"/>
    <w:pPr>
      <w:keepNext/>
      <w:keepLines/>
      <w:spacing w:after="0" w:line="360" w:lineRule="auto"/>
      <w:outlineLvl w:val="2"/>
    </w:pPr>
    <w:rPr>
      <w:rFonts w:ascii="Times New Roman" w:hAnsi="Times New Roman"/>
      <w:b/>
      <w:i/>
      <w:sz w:val="24"/>
      <w:szCs w:val="24"/>
    </w:rPr>
  </w:style>
  <w:style w:type="paragraph" w:styleId="Ttulo4">
    <w:name w:val="heading 4"/>
    <w:basedOn w:val="Standard"/>
    <w:next w:val="Textbody"/>
    <w:rsid w:val="00DF5E42"/>
    <w:pPr>
      <w:keepNext/>
      <w:keepLines/>
      <w:spacing w:after="0" w:line="360" w:lineRule="auto"/>
      <w:ind w:firstLine="709"/>
      <w:outlineLvl w:val="3"/>
    </w:pPr>
    <w:rPr>
      <w:rFonts w:ascii="Times New Roman" w:hAnsi="Times New Roman"/>
      <w:b/>
      <w:iCs/>
      <w:color w:val="000000" w:themeColor="text1"/>
      <w:sz w:val="24"/>
    </w:rPr>
  </w:style>
  <w:style w:type="paragraph" w:styleId="Ttulo5">
    <w:name w:val="heading 5"/>
    <w:basedOn w:val="Standard"/>
    <w:next w:val="Textbody"/>
    <w:pPr>
      <w:keepNext/>
      <w:keepLines/>
      <w:spacing w:before="40" w:after="0"/>
      <w:outlineLvl w:val="4"/>
    </w:pPr>
    <w:rPr>
      <w:rFonts w:ascii="Calibri Light" w:eastAsia="Times New Roman" w:hAnsi="Calibri Light" w:cs="Times New Roman"/>
      <w:color w:val="2E74B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line="276" w:lineRule="auto"/>
    </w:pPr>
  </w:style>
  <w:style w:type="paragraph" w:styleId="Lista">
    <w:name w:val="List"/>
    <w:basedOn w:val="Textbody"/>
    <w:rPr>
      <w:rFonts w:cs="Lucida Sans"/>
    </w:rPr>
  </w:style>
  <w:style w:type="paragraph" w:styleId="Descripcin">
    <w:name w:val="caption"/>
    <w:basedOn w:val="Standard"/>
    <w:pPr>
      <w:spacing w:after="200" w:line="240" w:lineRule="auto"/>
    </w:pPr>
    <w:rPr>
      <w:i/>
      <w:iCs/>
      <w:color w:val="44546A"/>
      <w:sz w:val="18"/>
      <w:szCs w:val="18"/>
    </w:rPr>
  </w:style>
  <w:style w:type="paragraph" w:customStyle="1" w:styleId="Index">
    <w:name w:val="Index"/>
    <w:basedOn w:val="Standard"/>
    <w:pPr>
      <w:suppressLineNumbers/>
    </w:pPr>
    <w:rPr>
      <w:rFonts w:cs="Lucida Sans"/>
    </w:rPr>
  </w:style>
  <w:style w:type="paragraph" w:styleId="Prrafodelista">
    <w:name w:val="List Paragraph"/>
    <w:basedOn w:val="Standard"/>
    <w:pPr>
      <w:ind w:left="720"/>
    </w:pPr>
  </w:style>
  <w:style w:type="paragraph" w:styleId="Textodeglobo">
    <w:name w:val="Balloon Text"/>
    <w:basedOn w:val="Standard"/>
    <w:pPr>
      <w:spacing w:after="0" w:line="240" w:lineRule="auto"/>
    </w:pPr>
    <w:rPr>
      <w:rFonts w:ascii="Segoe UI" w:hAnsi="Segoe UI" w:cs="Segoe UI"/>
      <w:sz w:val="18"/>
      <w:szCs w:val="18"/>
    </w:rPr>
  </w:style>
  <w:style w:type="paragraph" w:styleId="Textocomentario">
    <w:name w:val="annotation text"/>
    <w:basedOn w:val="Standard"/>
    <w:pPr>
      <w:spacing w:after="200" w:line="240" w:lineRule="auto"/>
    </w:pPr>
    <w:rPr>
      <w:sz w:val="20"/>
      <w:szCs w:val="20"/>
    </w:rPr>
  </w:style>
  <w:style w:type="paragraph" w:styleId="NormalWeb">
    <w:name w:val="Normal (Web)"/>
    <w:basedOn w:val="Standard"/>
    <w:pPr>
      <w:spacing w:before="28" w:after="100" w:line="240" w:lineRule="auto"/>
    </w:pPr>
    <w:rPr>
      <w:rFonts w:ascii="Times New Roman" w:eastAsia="Times New Roman" w:hAnsi="Times New Roman" w:cs="Times New Roman"/>
      <w:sz w:val="24"/>
      <w:szCs w:val="24"/>
      <w:lang w:eastAsia="es-CR"/>
    </w:rPr>
  </w:style>
  <w:style w:type="paragraph" w:customStyle="1" w:styleId="uk-text-justify">
    <w:name w:val="uk-text-justify"/>
    <w:basedOn w:val="Standard"/>
    <w:pPr>
      <w:spacing w:before="28" w:after="100" w:line="240" w:lineRule="auto"/>
    </w:pPr>
    <w:rPr>
      <w:rFonts w:ascii="Times New Roman" w:eastAsia="Times New Roman" w:hAnsi="Times New Roman" w:cs="Times New Roman"/>
      <w:sz w:val="24"/>
      <w:szCs w:val="24"/>
      <w:lang w:eastAsia="es-CR"/>
    </w:rPr>
  </w:style>
  <w:style w:type="paragraph" w:styleId="Asuntodelcomentario">
    <w:name w:val="annotation subject"/>
    <w:basedOn w:val="Textocomentario"/>
    <w:pPr>
      <w:spacing w:after="160"/>
    </w:pPr>
    <w:rPr>
      <w:b/>
      <w:bCs/>
    </w:rPr>
  </w:style>
  <w:style w:type="paragraph" w:customStyle="1" w:styleId="HeaderandFooter">
    <w:name w:val="Header and Footer"/>
    <w:basedOn w:val="Standard"/>
    <w:pPr>
      <w:suppressLineNumbers/>
      <w:tabs>
        <w:tab w:val="center" w:pos="4986"/>
        <w:tab w:val="right" w:pos="9972"/>
      </w:tabs>
    </w:pPr>
  </w:style>
  <w:style w:type="paragraph" w:styleId="Encabezado">
    <w:name w:val="header"/>
    <w:basedOn w:val="Standard"/>
    <w:pPr>
      <w:suppressLineNumbers/>
      <w:tabs>
        <w:tab w:val="center" w:pos="4419"/>
        <w:tab w:val="right" w:pos="8838"/>
      </w:tabs>
      <w:spacing w:after="0" w:line="240" w:lineRule="auto"/>
    </w:pPr>
  </w:style>
  <w:style w:type="paragraph" w:styleId="Piedepgina">
    <w:name w:val="footer"/>
    <w:basedOn w:val="Standard"/>
    <w:pPr>
      <w:suppressLineNumbers/>
      <w:tabs>
        <w:tab w:val="center" w:pos="4419"/>
        <w:tab w:val="right" w:pos="8838"/>
      </w:tabs>
      <w:spacing w:after="0" w:line="240" w:lineRule="auto"/>
    </w:pPr>
  </w:style>
  <w:style w:type="paragraph" w:customStyle="1" w:styleId="Ttulo51">
    <w:name w:val="Título 51"/>
    <w:basedOn w:val="Standard"/>
    <w:pPr>
      <w:keepNext/>
      <w:keepLines/>
      <w:spacing w:before="40" w:after="0" w:line="276" w:lineRule="auto"/>
      <w:outlineLvl w:val="4"/>
    </w:pPr>
    <w:rPr>
      <w:rFonts w:ascii="Calibri Light" w:eastAsia="Times New Roman" w:hAnsi="Calibri Light" w:cs="Times New Roman"/>
      <w:color w:val="2E74B5"/>
    </w:rPr>
  </w:style>
  <w:style w:type="paragraph" w:customStyle="1" w:styleId="Prrafodelista1">
    <w:name w:val="Párrafo de lista1"/>
    <w:basedOn w:val="Standard"/>
    <w:pPr>
      <w:spacing w:after="200" w:line="276" w:lineRule="auto"/>
      <w:ind w:left="720"/>
    </w:pPr>
    <w:rPr>
      <w:rFonts w:eastAsia="Times New Roman" w:cs="Times New Roman"/>
    </w:rPr>
  </w:style>
  <w:style w:type="paragraph" w:styleId="Sinespaciado">
    <w:name w:val="No Spacing"/>
    <w:pPr>
      <w:widowControl/>
      <w:spacing w:after="0" w:line="240" w:lineRule="auto"/>
    </w:pPr>
  </w:style>
  <w:style w:type="paragraph" w:customStyle="1" w:styleId="Ttulo10">
    <w:name w:val="Título1"/>
    <w:basedOn w:val="Standard"/>
    <w:pPr>
      <w:spacing w:after="0" w:line="240" w:lineRule="auto"/>
    </w:pPr>
    <w:rPr>
      <w:rFonts w:ascii="Calibri Light" w:eastAsia="Times New Roman" w:hAnsi="Calibri Light" w:cs="Times New Roman"/>
      <w:spacing w:val="-10"/>
      <w:sz w:val="56"/>
      <w:szCs w:val="56"/>
    </w:rPr>
  </w:style>
  <w:style w:type="paragraph" w:customStyle="1" w:styleId="poblacion">
    <w:name w:val="poblacion"/>
    <w:basedOn w:val="Standard"/>
    <w:pPr>
      <w:spacing w:before="28" w:after="100" w:line="240" w:lineRule="auto"/>
    </w:pPr>
    <w:rPr>
      <w:rFonts w:ascii="Times New Roman" w:eastAsia="Times New Roman" w:hAnsi="Times New Roman" w:cs="Times New Roman"/>
      <w:sz w:val="24"/>
      <w:szCs w:val="24"/>
      <w:lang w:eastAsia="es-CR"/>
    </w:rPr>
  </w:style>
  <w:style w:type="paragraph" w:customStyle="1" w:styleId="datos">
    <w:name w:val="datos"/>
    <w:basedOn w:val="Standard"/>
    <w:pPr>
      <w:spacing w:before="28" w:after="100" w:line="240" w:lineRule="auto"/>
    </w:pPr>
    <w:rPr>
      <w:rFonts w:ascii="Times New Roman" w:eastAsia="Times New Roman" w:hAnsi="Times New Roman" w:cs="Times New Roman"/>
      <w:sz w:val="24"/>
      <w:szCs w:val="24"/>
      <w:lang w:eastAsia="es-CR"/>
    </w:rPr>
  </w:style>
  <w:style w:type="paragraph" w:customStyle="1" w:styleId="TtuloTDC1">
    <w:name w:val="Título TDC1"/>
    <w:basedOn w:val="Ttulo1"/>
    <w:pPr>
      <w:spacing w:line="259" w:lineRule="auto"/>
    </w:pPr>
    <w:rPr>
      <w:rFonts w:ascii="Calibri Light" w:hAnsi="Calibri Light"/>
      <w:color w:val="2E74B5"/>
      <w:lang w:val="es-CR" w:eastAsia="es-CR"/>
    </w:rPr>
  </w:style>
  <w:style w:type="paragraph" w:customStyle="1" w:styleId="Contents1">
    <w:name w:val="Contents 1"/>
    <w:basedOn w:val="Standard"/>
    <w:pPr>
      <w:tabs>
        <w:tab w:val="right" w:leader="dot" w:pos="8828"/>
      </w:tabs>
      <w:spacing w:after="100" w:line="276" w:lineRule="auto"/>
    </w:pPr>
  </w:style>
  <w:style w:type="paragraph" w:customStyle="1" w:styleId="Contents3">
    <w:name w:val="Contents 3"/>
    <w:basedOn w:val="Standard"/>
    <w:pPr>
      <w:tabs>
        <w:tab w:val="right" w:leader="dot" w:pos="9846"/>
      </w:tabs>
      <w:spacing w:after="100" w:line="276" w:lineRule="auto"/>
      <w:ind w:left="440"/>
    </w:pPr>
  </w:style>
  <w:style w:type="paragraph" w:customStyle="1" w:styleId="Contents2">
    <w:name w:val="Contents 2"/>
    <w:basedOn w:val="Standard"/>
    <w:pPr>
      <w:tabs>
        <w:tab w:val="right" w:leader="dot" w:pos="9909"/>
      </w:tabs>
      <w:spacing w:after="100" w:line="276" w:lineRule="auto"/>
      <w:ind w:left="220"/>
    </w:pPr>
  </w:style>
  <w:style w:type="paragraph" w:styleId="Revisin">
    <w:name w:val="Revision"/>
    <w:pPr>
      <w:widowControl/>
      <w:spacing w:after="0" w:line="240" w:lineRule="auto"/>
    </w:pPr>
  </w:style>
  <w:style w:type="paragraph" w:styleId="Ttulo">
    <w:name w:val="Title"/>
    <w:basedOn w:val="Standard"/>
    <w:next w:val="Subttulo"/>
    <w:pPr>
      <w:spacing w:after="0" w:line="240" w:lineRule="auto"/>
    </w:pPr>
    <w:rPr>
      <w:rFonts w:ascii="Calibri Light" w:eastAsia="Times New Roman" w:hAnsi="Calibri Light" w:cs="Times New Roman"/>
      <w:b/>
      <w:bCs/>
      <w:spacing w:val="-10"/>
      <w:sz w:val="56"/>
      <w:szCs w:val="56"/>
    </w:rPr>
  </w:style>
  <w:style w:type="paragraph" w:styleId="Subttulo">
    <w:name w:val="Subtitle"/>
    <w:basedOn w:val="Heading"/>
    <w:next w:val="Textbody"/>
    <w:pPr>
      <w:jc w:val="center"/>
    </w:pPr>
    <w:rPr>
      <w:i/>
      <w:iCs/>
    </w:rPr>
  </w:style>
  <w:style w:type="paragraph" w:styleId="Ttulodendice">
    <w:name w:val="index heading"/>
    <w:basedOn w:val="Heading"/>
    <w:pPr>
      <w:suppressLineNumbers/>
    </w:pPr>
    <w:rPr>
      <w:b/>
      <w:bCs/>
      <w:sz w:val="32"/>
      <w:szCs w:val="32"/>
    </w:rPr>
  </w:style>
  <w:style w:type="paragraph" w:customStyle="1" w:styleId="ContentsHeading">
    <w:name w:val="Contents Heading"/>
    <w:basedOn w:val="Ttulo1"/>
    <w:pPr>
      <w:suppressLineNumbers/>
      <w:spacing w:line="259" w:lineRule="auto"/>
    </w:pPr>
    <w:rPr>
      <w:rFonts w:ascii="Calibri Light" w:hAnsi="Calibri Light"/>
      <w:b w:val="0"/>
      <w:bCs/>
      <w:color w:val="2E74B5"/>
      <w:sz w:val="32"/>
      <w:lang w:val="es-CR" w:eastAsia="es-CR"/>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TDC2">
    <w:name w:val="toc 2"/>
    <w:basedOn w:val="Normal"/>
    <w:next w:val="Normal"/>
    <w:autoRedefine/>
    <w:uiPriority w:val="39"/>
    <w:unhideWhenUsed/>
    <w:rsid w:val="002358F9"/>
    <w:pPr>
      <w:spacing w:before="120"/>
      <w:ind w:left="240"/>
      <w:jc w:val="left"/>
    </w:pPr>
    <w:rPr>
      <w:rFonts w:asciiTheme="minorHAnsi" w:hAnsiTheme="minorHAnsi"/>
      <w:b/>
      <w:bCs/>
      <w:sz w:val="22"/>
    </w:rPr>
  </w:style>
  <w:style w:type="paragraph" w:styleId="TDC1">
    <w:name w:val="toc 1"/>
    <w:basedOn w:val="Normal"/>
    <w:next w:val="Normal"/>
    <w:autoRedefine/>
    <w:uiPriority w:val="39"/>
    <w:unhideWhenUsed/>
    <w:rsid w:val="00591F4A"/>
    <w:pPr>
      <w:spacing w:before="120"/>
      <w:jc w:val="left"/>
    </w:pPr>
    <w:rPr>
      <w:rFonts w:asciiTheme="minorHAnsi" w:hAnsiTheme="minorHAnsi"/>
      <w:b/>
      <w:bCs/>
      <w:i/>
      <w:iCs/>
      <w:szCs w:val="24"/>
    </w:rPr>
  </w:style>
  <w:style w:type="paragraph" w:styleId="TDC3">
    <w:name w:val="toc 3"/>
    <w:basedOn w:val="Normal"/>
    <w:next w:val="Normal"/>
    <w:autoRedefine/>
    <w:uiPriority w:val="39"/>
    <w:unhideWhenUsed/>
    <w:rsid w:val="002358F9"/>
    <w:pPr>
      <w:ind w:left="480"/>
      <w:jc w:val="left"/>
    </w:pPr>
    <w:rPr>
      <w:rFonts w:asciiTheme="minorHAnsi" w:hAnsiTheme="minorHAnsi"/>
      <w:sz w:val="20"/>
      <w:szCs w:val="20"/>
    </w:rPr>
  </w:style>
  <w:style w:type="paragraph" w:styleId="TDC4">
    <w:name w:val="toc 4"/>
    <w:basedOn w:val="Normal"/>
    <w:next w:val="Normal"/>
    <w:autoRedefine/>
    <w:uiPriority w:val="39"/>
    <w:unhideWhenUsed/>
    <w:rsid w:val="002358F9"/>
    <w:pPr>
      <w:ind w:left="720"/>
      <w:jc w:val="left"/>
    </w:pPr>
    <w:rPr>
      <w:rFonts w:asciiTheme="minorHAnsi" w:hAnsiTheme="minorHAnsi"/>
      <w:sz w:val="20"/>
      <w:szCs w:val="20"/>
    </w:rPr>
  </w:style>
  <w:style w:type="character" w:customStyle="1" w:styleId="Ttulo5Car">
    <w:name w:val="Título 5 Car"/>
    <w:basedOn w:val="Fuentedeprrafopredeter"/>
    <w:rPr>
      <w:rFonts w:ascii="Calibri Light" w:eastAsia="Times New Roman" w:hAnsi="Calibri Light" w:cs="Times New Roman"/>
      <w:color w:val="2E74B5"/>
    </w:rPr>
  </w:style>
  <w:style w:type="character" w:customStyle="1" w:styleId="TextodegloboCar">
    <w:name w:val="Texto de globo Car"/>
    <w:basedOn w:val="Fuentedeprrafopredeter"/>
    <w:rPr>
      <w:rFonts w:ascii="Segoe UI" w:hAnsi="Segoe UI" w:cs="Segoe UI"/>
      <w:sz w:val="18"/>
      <w:szCs w:val="18"/>
    </w:rPr>
  </w:style>
  <w:style w:type="character" w:styleId="Refdecomentario">
    <w:name w:val="annotation reference"/>
    <w:basedOn w:val="Fuentedeprrafopredeter"/>
    <w:rPr>
      <w:sz w:val="16"/>
      <w:szCs w:val="16"/>
    </w:rPr>
  </w:style>
  <w:style w:type="character" w:customStyle="1" w:styleId="TextocomentarioCar">
    <w:name w:val="Texto comentario Car"/>
    <w:basedOn w:val="Fuentedeprrafopredeter"/>
    <w:rPr>
      <w:sz w:val="20"/>
      <w:szCs w:val="20"/>
    </w:rPr>
  </w:style>
  <w:style w:type="character" w:customStyle="1" w:styleId="Internetlink">
    <w:name w:val="Internet link"/>
    <w:basedOn w:val="Fuentedeprrafopredeter"/>
    <w:rPr>
      <w:color w:val="0000FF"/>
      <w:u w:val="single"/>
    </w:rPr>
  </w:style>
  <w:style w:type="character" w:customStyle="1" w:styleId="StrongEmphasis">
    <w:name w:val="Strong Emphasis"/>
    <w:basedOn w:val="Fuentedeprrafopredeter"/>
    <w:rPr>
      <w:b/>
      <w:bCs/>
    </w:rPr>
  </w:style>
  <w:style w:type="character" w:customStyle="1" w:styleId="tr">
    <w:name w:val="tr"/>
    <w:basedOn w:val="Fuentedeprrafopredeter"/>
  </w:style>
  <w:style w:type="character" w:customStyle="1" w:styleId="uk-badge">
    <w:name w:val="uk-badge"/>
    <w:basedOn w:val="Fuentedeprrafopredeter"/>
  </w:style>
  <w:style w:type="character" w:styleId="nfasis">
    <w:name w:val="Emphasis"/>
    <w:basedOn w:val="Fuentedeprrafopredeter"/>
    <w:qFormat/>
    <w:rPr>
      <w:i/>
      <w:iCs/>
    </w:rPr>
  </w:style>
  <w:style w:type="character" w:customStyle="1" w:styleId="Mencinsinresolver1">
    <w:name w:val="Mención sin resolver1"/>
    <w:basedOn w:val="Fuentedeprrafopredeter"/>
    <w:rPr>
      <w:color w:val="605E5C"/>
    </w:rPr>
  </w:style>
  <w:style w:type="character" w:styleId="Hipervnculovisitado">
    <w:name w:val="FollowedHyperlink"/>
    <w:basedOn w:val="Fuentedeprrafopredeter"/>
    <w:rPr>
      <w:color w:val="954F72"/>
      <w:u w:val="single"/>
    </w:rPr>
  </w:style>
  <w:style w:type="character" w:customStyle="1" w:styleId="AsuntodelcomentarioCar">
    <w:name w:val="Asunto del comentario Car"/>
    <w:basedOn w:val="TextocomentarioCar"/>
    <w:rPr>
      <w:b/>
      <w:bCs/>
      <w:sz w:val="20"/>
      <w:szCs w:val="20"/>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Mencinsinresolver2">
    <w:name w:val="Mención sin resolver2"/>
    <w:basedOn w:val="Fuentedeprrafopredeter"/>
    <w:rPr>
      <w:color w:val="605E5C"/>
    </w:rPr>
  </w:style>
  <w:style w:type="character" w:customStyle="1" w:styleId="TextoindependienteCar">
    <w:name w:val="Texto independiente Car"/>
    <w:basedOn w:val="Fuentedeprrafopredeter"/>
  </w:style>
  <w:style w:type="character" w:customStyle="1" w:styleId="apple-converted-space">
    <w:name w:val="apple-converted-space"/>
    <w:basedOn w:val="Fuentedeprrafopredeter"/>
  </w:style>
  <w:style w:type="character" w:customStyle="1" w:styleId="TtuloCar">
    <w:name w:val="Título Car"/>
    <w:basedOn w:val="Fuentedeprrafopredeter"/>
    <w:rPr>
      <w:rFonts w:ascii="Calibri Light" w:eastAsia="Times New Roman" w:hAnsi="Calibri Light" w:cs="Times New Roman"/>
      <w:spacing w:val="-10"/>
      <w:kern w:val="3"/>
      <w:sz w:val="56"/>
      <w:szCs w:val="56"/>
    </w:rPr>
  </w:style>
  <w:style w:type="character" w:customStyle="1" w:styleId="fecha-indicador">
    <w:name w:val="fecha-indicador"/>
    <w:basedOn w:val="Fuentedeprrafopredeter"/>
  </w:style>
  <w:style w:type="character" w:customStyle="1" w:styleId="dato-indicador">
    <w:name w:val="dato-indicador"/>
    <w:basedOn w:val="Fuentedeprrafopredeter"/>
  </w:style>
  <w:style w:type="character" w:customStyle="1" w:styleId="indice-general">
    <w:name w:val="indice-general"/>
    <w:basedOn w:val="Fuentedeprrafopredeter"/>
  </w:style>
  <w:style w:type="character" w:customStyle="1" w:styleId="variacion">
    <w:name w:val="variacion"/>
    <w:basedOn w:val="Fuentedeprrafopredeter"/>
  </w:style>
  <w:style w:type="character" w:customStyle="1" w:styleId="Mencinsinresolver3">
    <w:name w:val="Mención sin resolver3"/>
    <w:basedOn w:val="Fuentedeprrafopredeter"/>
    <w:rPr>
      <w:color w:val="605E5C"/>
    </w:rPr>
  </w:style>
  <w:style w:type="character" w:customStyle="1" w:styleId="Ttulo5Car1">
    <w:name w:val="Título 5 Car1"/>
    <w:basedOn w:val="Fuentedeprrafopredeter"/>
    <w:rPr>
      <w:rFonts w:ascii="Calibri Light" w:hAnsi="Calibri Light"/>
      <w:color w:val="2E74B5"/>
    </w:rPr>
  </w:style>
  <w:style w:type="character" w:customStyle="1" w:styleId="TtuloCar1">
    <w:name w:val="Título Car1"/>
    <w:basedOn w:val="Fuentedeprrafopredeter"/>
    <w:rPr>
      <w:rFonts w:ascii="Calibri Light" w:hAnsi="Calibri Light"/>
      <w:spacing w:val="-10"/>
      <w:kern w:val="3"/>
      <w:sz w:val="56"/>
      <w:szCs w:val="56"/>
    </w:rPr>
  </w:style>
  <w:style w:type="character" w:customStyle="1" w:styleId="Mencinsinresolver4">
    <w:name w:val="Mención sin resolver4"/>
    <w:basedOn w:val="Fuentedeprrafopredeter"/>
    <w:rPr>
      <w:color w:val="605E5C"/>
    </w:rPr>
  </w:style>
  <w:style w:type="character" w:customStyle="1" w:styleId="ListLabel1">
    <w:name w:val="ListLabel 1"/>
    <w:rPr>
      <w:rFonts w:cs="Courier New"/>
    </w:rPr>
  </w:style>
  <w:style w:type="character" w:customStyle="1" w:styleId="ListLabel2">
    <w:name w:val="ListLabel 2"/>
    <w:rPr>
      <w:rFonts w:cs="Times New Roman"/>
      <w:sz w:val="24"/>
    </w:rPr>
  </w:style>
  <w:style w:type="character" w:customStyle="1" w:styleId="ListLabel3">
    <w:name w:val="ListLabel 3"/>
    <w:rPr>
      <w:sz w:val="20"/>
    </w:rPr>
  </w:style>
  <w:style w:type="character" w:customStyle="1" w:styleId="ListLabel4">
    <w:name w:val="ListLabel 4"/>
    <w:rPr>
      <w:rFonts w:cs="Symbol"/>
      <w:sz w:val="22"/>
    </w:rPr>
  </w:style>
  <w:style w:type="character" w:customStyle="1" w:styleId="ListLabel5">
    <w:name w:val="ListLabel 5"/>
    <w:rPr>
      <w:b w:val="0"/>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40"/>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 w:type="numbering" w:customStyle="1" w:styleId="WWNum15">
    <w:name w:val="WWNum15"/>
    <w:basedOn w:val="Sinlista"/>
    <w:pPr>
      <w:numPr>
        <w:numId w:val="15"/>
      </w:numPr>
    </w:pPr>
  </w:style>
  <w:style w:type="numbering" w:customStyle="1" w:styleId="WWNum16">
    <w:name w:val="WWNum16"/>
    <w:basedOn w:val="Sinlista"/>
    <w:pPr>
      <w:numPr>
        <w:numId w:val="16"/>
      </w:numPr>
    </w:pPr>
  </w:style>
  <w:style w:type="numbering" w:customStyle="1" w:styleId="WWNum17">
    <w:name w:val="WWNum17"/>
    <w:basedOn w:val="Sinlista"/>
    <w:pPr>
      <w:numPr>
        <w:numId w:val="17"/>
      </w:numPr>
    </w:pPr>
  </w:style>
  <w:style w:type="numbering" w:customStyle="1" w:styleId="WWNum18">
    <w:name w:val="WWNum18"/>
    <w:basedOn w:val="Sinlista"/>
    <w:pPr>
      <w:numPr>
        <w:numId w:val="18"/>
      </w:numPr>
    </w:pPr>
  </w:style>
  <w:style w:type="numbering" w:customStyle="1" w:styleId="WWNum19">
    <w:name w:val="WWNum19"/>
    <w:basedOn w:val="Sinlista"/>
    <w:pPr>
      <w:numPr>
        <w:numId w:val="19"/>
      </w:numPr>
    </w:pPr>
  </w:style>
  <w:style w:type="numbering" w:customStyle="1" w:styleId="WWNum20">
    <w:name w:val="WWNum20"/>
    <w:basedOn w:val="Sinlista"/>
    <w:pPr>
      <w:numPr>
        <w:numId w:val="20"/>
      </w:numPr>
    </w:pPr>
  </w:style>
  <w:style w:type="numbering" w:customStyle="1" w:styleId="WWNum21">
    <w:name w:val="WWNum21"/>
    <w:basedOn w:val="Sinlista"/>
    <w:pPr>
      <w:numPr>
        <w:numId w:val="21"/>
      </w:numPr>
    </w:pPr>
  </w:style>
  <w:style w:type="character" w:styleId="Hipervnculo">
    <w:name w:val="Hyperlink"/>
    <w:basedOn w:val="Fuentedeprrafopredeter"/>
    <w:uiPriority w:val="99"/>
    <w:unhideWhenUsed/>
    <w:rsid w:val="00440AB3"/>
    <w:rPr>
      <w:color w:val="0563C1" w:themeColor="hyperlink"/>
      <w:u w:val="single"/>
    </w:rPr>
  </w:style>
  <w:style w:type="table" w:styleId="Tablaconcuadrcula4-nfasis5">
    <w:name w:val="Grid Table 4 Accent 5"/>
    <w:basedOn w:val="Tablanormal"/>
    <w:uiPriority w:val="49"/>
    <w:rsid w:val="003E116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5oscura-nfasis1">
    <w:name w:val="Grid Table 5 Dark Accent 1"/>
    <w:basedOn w:val="Tablanormal"/>
    <w:uiPriority w:val="50"/>
    <w:rsid w:val="003E116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Mencinsinresolver5">
    <w:name w:val="Mención sin resolver5"/>
    <w:basedOn w:val="Fuentedeprrafopredeter"/>
    <w:uiPriority w:val="99"/>
    <w:semiHidden/>
    <w:unhideWhenUsed/>
    <w:rsid w:val="0058483E"/>
    <w:rPr>
      <w:color w:val="605E5C"/>
      <w:shd w:val="clear" w:color="auto" w:fill="E1DFDD"/>
    </w:rPr>
  </w:style>
  <w:style w:type="character" w:styleId="Nmerodepgina">
    <w:name w:val="page number"/>
    <w:basedOn w:val="Fuentedeprrafopredeter"/>
    <w:uiPriority w:val="99"/>
    <w:semiHidden/>
    <w:unhideWhenUsed/>
    <w:rsid w:val="005002EF"/>
  </w:style>
  <w:style w:type="character" w:styleId="nfasisintenso">
    <w:name w:val="Intense Emphasis"/>
    <w:basedOn w:val="Fuentedeprrafopredeter"/>
    <w:uiPriority w:val="21"/>
    <w:qFormat/>
    <w:rsid w:val="00EA675B"/>
    <w:rPr>
      <w:i/>
      <w:iCs/>
      <w:color w:val="5B9BD5" w:themeColor="accent1"/>
    </w:rPr>
  </w:style>
  <w:style w:type="paragraph" w:styleId="TtuloTDC">
    <w:name w:val="TOC Heading"/>
    <w:basedOn w:val="Ttulo1"/>
    <w:next w:val="Normal"/>
    <w:uiPriority w:val="39"/>
    <w:unhideWhenUsed/>
    <w:qFormat/>
    <w:rsid w:val="009E507D"/>
    <w:pPr>
      <w:suppressAutoHyphens w:val="0"/>
      <w:autoSpaceDN/>
      <w:spacing w:before="480" w:line="276" w:lineRule="auto"/>
      <w:jc w:val="left"/>
      <w:textAlignment w:val="auto"/>
      <w:outlineLvl w:val="9"/>
    </w:pPr>
    <w:rPr>
      <w:rFonts w:asciiTheme="majorHAnsi" w:eastAsiaTheme="majorEastAsia" w:hAnsiTheme="majorHAnsi" w:cstheme="majorBidi"/>
      <w:bCs/>
      <w:caps w:val="0"/>
      <w:color w:val="2E74B5" w:themeColor="accent1" w:themeShade="BF"/>
      <w:kern w:val="0"/>
      <w:sz w:val="28"/>
      <w:szCs w:val="28"/>
      <w:lang w:val="es-CR" w:eastAsia="es-ES_tradnl"/>
    </w:rPr>
  </w:style>
  <w:style w:type="paragraph" w:styleId="TDC5">
    <w:name w:val="toc 5"/>
    <w:basedOn w:val="Normal"/>
    <w:next w:val="Normal"/>
    <w:autoRedefine/>
    <w:uiPriority w:val="39"/>
    <w:semiHidden/>
    <w:unhideWhenUsed/>
    <w:rsid w:val="009E507D"/>
    <w:pPr>
      <w:ind w:left="960"/>
      <w:jc w:val="left"/>
    </w:pPr>
    <w:rPr>
      <w:rFonts w:asciiTheme="minorHAnsi" w:hAnsiTheme="minorHAnsi"/>
      <w:sz w:val="20"/>
      <w:szCs w:val="20"/>
    </w:rPr>
  </w:style>
  <w:style w:type="paragraph" w:styleId="TDC6">
    <w:name w:val="toc 6"/>
    <w:basedOn w:val="Normal"/>
    <w:next w:val="Normal"/>
    <w:autoRedefine/>
    <w:uiPriority w:val="39"/>
    <w:semiHidden/>
    <w:unhideWhenUsed/>
    <w:rsid w:val="009E507D"/>
    <w:pPr>
      <w:ind w:left="1200"/>
      <w:jc w:val="left"/>
    </w:pPr>
    <w:rPr>
      <w:rFonts w:asciiTheme="minorHAnsi" w:hAnsiTheme="minorHAnsi"/>
      <w:sz w:val="20"/>
      <w:szCs w:val="20"/>
    </w:rPr>
  </w:style>
  <w:style w:type="paragraph" w:styleId="TDC7">
    <w:name w:val="toc 7"/>
    <w:basedOn w:val="Normal"/>
    <w:next w:val="Normal"/>
    <w:autoRedefine/>
    <w:uiPriority w:val="39"/>
    <w:semiHidden/>
    <w:unhideWhenUsed/>
    <w:rsid w:val="009E507D"/>
    <w:pPr>
      <w:ind w:left="1440"/>
      <w:jc w:val="left"/>
    </w:pPr>
    <w:rPr>
      <w:rFonts w:asciiTheme="minorHAnsi" w:hAnsiTheme="minorHAnsi"/>
      <w:sz w:val="20"/>
      <w:szCs w:val="20"/>
    </w:rPr>
  </w:style>
  <w:style w:type="paragraph" w:styleId="TDC8">
    <w:name w:val="toc 8"/>
    <w:basedOn w:val="Normal"/>
    <w:next w:val="Normal"/>
    <w:autoRedefine/>
    <w:uiPriority w:val="39"/>
    <w:semiHidden/>
    <w:unhideWhenUsed/>
    <w:rsid w:val="009E507D"/>
    <w:pPr>
      <w:ind w:left="1680"/>
      <w:jc w:val="left"/>
    </w:pPr>
    <w:rPr>
      <w:rFonts w:asciiTheme="minorHAnsi" w:hAnsiTheme="minorHAnsi"/>
      <w:sz w:val="20"/>
      <w:szCs w:val="20"/>
    </w:rPr>
  </w:style>
  <w:style w:type="paragraph" w:styleId="TDC9">
    <w:name w:val="toc 9"/>
    <w:basedOn w:val="Normal"/>
    <w:next w:val="Normal"/>
    <w:autoRedefine/>
    <w:uiPriority w:val="39"/>
    <w:semiHidden/>
    <w:unhideWhenUsed/>
    <w:rsid w:val="009E507D"/>
    <w:pPr>
      <w:ind w:left="1920"/>
      <w:jc w:val="left"/>
    </w:pPr>
    <w:rPr>
      <w:rFonts w:asciiTheme="minorHAnsi" w:hAnsiTheme="minorHAnsi"/>
      <w:sz w:val="20"/>
      <w:szCs w:val="20"/>
    </w:rPr>
  </w:style>
  <w:style w:type="paragraph" w:styleId="Tabladeilustraciones">
    <w:name w:val="table of figures"/>
    <w:basedOn w:val="Normal"/>
    <w:next w:val="Normal"/>
    <w:uiPriority w:val="99"/>
    <w:unhideWhenUsed/>
    <w:rsid w:val="00F72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815274">
      <w:bodyDiv w:val="1"/>
      <w:marLeft w:val="0"/>
      <w:marRight w:val="0"/>
      <w:marTop w:val="0"/>
      <w:marBottom w:val="0"/>
      <w:divBdr>
        <w:top w:val="none" w:sz="0" w:space="0" w:color="auto"/>
        <w:left w:val="none" w:sz="0" w:space="0" w:color="auto"/>
        <w:bottom w:val="none" w:sz="0" w:space="0" w:color="auto"/>
        <w:right w:val="none" w:sz="0" w:space="0" w:color="auto"/>
      </w:divBdr>
    </w:div>
    <w:div w:id="326901236">
      <w:bodyDiv w:val="1"/>
      <w:marLeft w:val="0"/>
      <w:marRight w:val="0"/>
      <w:marTop w:val="0"/>
      <w:marBottom w:val="0"/>
      <w:divBdr>
        <w:top w:val="none" w:sz="0" w:space="0" w:color="auto"/>
        <w:left w:val="none" w:sz="0" w:space="0" w:color="auto"/>
        <w:bottom w:val="none" w:sz="0" w:space="0" w:color="auto"/>
        <w:right w:val="none" w:sz="0" w:space="0" w:color="auto"/>
      </w:divBdr>
    </w:div>
    <w:div w:id="389502119">
      <w:bodyDiv w:val="1"/>
      <w:marLeft w:val="0"/>
      <w:marRight w:val="0"/>
      <w:marTop w:val="0"/>
      <w:marBottom w:val="0"/>
      <w:divBdr>
        <w:top w:val="none" w:sz="0" w:space="0" w:color="auto"/>
        <w:left w:val="none" w:sz="0" w:space="0" w:color="auto"/>
        <w:bottom w:val="none" w:sz="0" w:space="0" w:color="auto"/>
        <w:right w:val="none" w:sz="0" w:space="0" w:color="auto"/>
      </w:divBdr>
    </w:div>
    <w:div w:id="432365479">
      <w:bodyDiv w:val="1"/>
      <w:marLeft w:val="0"/>
      <w:marRight w:val="0"/>
      <w:marTop w:val="0"/>
      <w:marBottom w:val="0"/>
      <w:divBdr>
        <w:top w:val="none" w:sz="0" w:space="0" w:color="auto"/>
        <w:left w:val="none" w:sz="0" w:space="0" w:color="auto"/>
        <w:bottom w:val="none" w:sz="0" w:space="0" w:color="auto"/>
        <w:right w:val="none" w:sz="0" w:space="0" w:color="auto"/>
      </w:divBdr>
    </w:div>
    <w:div w:id="1746881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2.ohchr.org/spanish/law/cedaw-one.htm" TargetMode="External"/><Relationship Id="rId18" Type="http://schemas.openxmlformats.org/officeDocument/2006/relationships/image" Target="media/image4.wmf"/><Relationship Id="rId26" Type="http://schemas.openxmlformats.org/officeDocument/2006/relationships/image" Target="media/image7.emf"/><Relationship Id="rId39" Type="http://schemas.openxmlformats.org/officeDocument/2006/relationships/chart" Target="charts/chart7.xml"/><Relationship Id="rId34" Type="http://schemas.openxmlformats.org/officeDocument/2006/relationships/chart" Target="charts/chart2.xml"/><Relationship Id="rId42" Type="http://schemas.openxmlformats.org/officeDocument/2006/relationships/hyperlink" Target="https://play.google.com/store/books/details/HABILIDADES_COGNITIVAS_B&#193;SICAS_FORMACI&#211;N_Y_DETERIO?id=QmT6AgAAQBAJ&amp;hl=az" TargetMode="External"/><Relationship Id="rId47" Type="http://schemas.openxmlformats.org/officeDocument/2006/relationships/hyperlink" Target="file:///C:\Users\Lorena\Downloads\TFG%20Lorena%20McL%20rev.%2027%20ENERO%20(2).docx" TargetMode="External"/><Relationship Id="rId50" Type="http://schemas.openxmlformats.org/officeDocument/2006/relationships/hyperlink" Target="https://www.redalyc.org/pdf/1390/139029198007.pdf" TargetMode="External"/><Relationship Id="rId55" Type="http://schemas.openxmlformats.org/officeDocument/2006/relationships/hyperlink" Target="https://www.uca.ac.cr/wp-content/uploads/2017/10/Investigacion.pdf" TargetMode="External"/><Relationship Id="rId63" Type="http://schemas.openxmlformats.org/officeDocument/2006/relationships/hyperlink" Target="https://www.poder-judicial.go.cr/observatoriojudicial/vol74/" TargetMode="External"/><Relationship Id="rId68" Type="http://schemas.openxmlformats.org/officeDocument/2006/relationships/hyperlink" Target="https://observatoriodegenero.poder-judicial.go.cr/%20pdf" TargetMode="External"/><Relationship Id="rId76" Type="http://schemas.openxmlformats.org/officeDocument/2006/relationships/hyperlink" Target="http://oaji.net/articles/2016/2962-1474998759.pdf" TargetMode="External"/><Relationship Id="rId7" Type="http://schemas.openxmlformats.org/officeDocument/2006/relationships/endnotes" Target="endnotes.xml"/><Relationship Id="rId71" Type="http://schemas.openxmlformats.org/officeDocument/2006/relationships/hyperlink" Target="https://repositorio.cepal.org/bitstream/handle/11362/5855/S9600674_es.pdf" TargetMode="Externa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diagramLayout" Target="diagrams/layout1.xml"/><Relationship Id="rId11" Type="http://schemas.openxmlformats.org/officeDocument/2006/relationships/hyperlink" Target="http://treaties.un.org/Pages/ViewDetailsIII.aspx?&amp;src=TREATY&amp;mtdsg_no=XVI~2&amp;chapter=16&amp;Temp=mtdsg3&amp;lang=en" TargetMode="External"/><Relationship Id="rId32" Type="http://schemas.microsoft.com/office/2007/relationships/diagramDrawing" Target="diagrams/drawing1.xml"/><Relationship Id="rId37" Type="http://schemas.openxmlformats.org/officeDocument/2006/relationships/chart" Target="charts/chart5.xml"/><Relationship Id="rId40" Type="http://schemas.openxmlformats.org/officeDocument/2006/relationships/chart" Target="charts/chart8.xml"/><Relationship Id="rId45" Type="http://schemas.openxmlformats.org/officeDocument/2006/relationships/hyperlink" Target="https://dds.cepal.org/redesoc/publicacion?id=751" TargetMode="External"/><Relationship Id="rId53" Type="http://schemas.openxmlformats.org/officeDocument/2006/relationships/hyperlink" Target="https://www.academia.edu/37228615/Construcci&#243;n_social_del_g&#233;nero_conceptos_b&#225;sicos" TargetMode="External"/><Relationship Id="rId58" Type="http://schemas.openxmlformats.org/officeDocument/2006/relationships/hyperlink" Target="https://www.inamu.go.cr/documents/" TargetMode="External"/><Relationship Id="rId66" Type="http://schemas.openxmlformats.org/officeDocument/2006/relationships/hyperlink" Target="https://www.ohchr.org/EN/ProfessionalInterest/Pages/Vienna.aspx" TargetMode="External"/><Relationship Id="rId74" Type="http://schemas.openxmlformats.org/officeDocument/2006/relationships/hyperlink" Target="https://www.redalyc.org/articulo.oa?id=80100510" TargetMode="External"/><Relationship Id="rId79"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8" Type="http://schemas.openxmlformats.org/officeDocument/2006/relationships/diagramData" Target="diagrams/data1.xml"/><Relationship Id="rId36" Type="http://schemas.openxmlformats.org/officeDocument/2006/relationships/chart" Target="charts/chart4.xml"/><Relationship Id="rId49" Type="http://schemas.openxmlformats.org/officeDocument/2006/relationships/hyperlink" Target="https://www.bvs.sa.cr/php/situacion/violencia" TargetMode="External"/><Relationship Id="rId57" Type="http://schemas.openxmlformats.org/officeDocument/2006/relationships/hyperlink" Target="https://www.iidh.ed.cr/IIDH/media/1838/convencicion-cedaw-protocolof-2004.pdf" TargetMode="External"/><Relationship Id="rId61" Type="http://schemas.openxmlformats.org/officeDocument/2006/relationships/hyperlink" Target="https://repository.uaeh.edu.mx/bitstream/bitstream/handle/123456789/16700/LECT132." TargetMode="External"/><Relationship Id="rId10" Type="http://schemas.openxmlformats.org/officeDocument/2006/relationships/hyperlink" Target="http://treaties.un.org/Pages/ViewDetails.aspx?src=TREATY&amp;mtdsg_no=XVI-1&amp;chapter=16&amp;lang=en" TargetMode="External"/><Relationship Id="rId19" Type="http://schemas.openxmlformats.org/officeDocument/2006/relationships/image" Target="media/image5.wmf"/><Relationship Id="rId31" Type="http://schemas.openxmlformats.org/officeDocument/2006/relationships/diagramColors" Target="diagrams/colors1.xml"/><Relationship Id="rId44" Type="http://schemas.openxmlformats.org/officeDocument/2006/relationships/hyperlink" Target="http://kdoce.cl/wp-content/uploads/2017/10/DOC1-neuroeducacion.pdf" TargetMode="External"/><Relationship Id="rId52" Type="http://schemas.openxmlformats.org/officeDocument/2006/relationships/hyperlink" Target="http://fundacionjyg.org/wp-content/uploads/2018/05/Genero-y-Derecho.pdf" TargetMode="External"/><Relationship Id="rId60" Type="http://schemas.openxmlformats.org/officeDocument/2006/relationships/hyperlink" Target="https://pdfs.semanticscholar.org/.pdf" TargetMode="External"/><Relationship Id="rId65" Type="http://schemas.openxmlformats.org/officeDocument/2006/relationships/hyperlink" Target="https://www.un.org/womenwatch/daw/vaw/handbook/Supplement-to-Handbook-Spanish.pdf" TargetMode="External"/><Relationship Id="rId73" Type="http://schemas.openxmlformats.org/officeDocument/2006/relationships/hyperlink" Target="http://www.pgrweb.go.cr/scij/Busqueda/Normativa/Normas/nrm_texto_completo.aspx?param1=NRTC&amp;nValor1=1&amp;nValor2=27926&amp;nValor3=0&amp;strTipM=TC"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 Id="rId27" Type="http://schemas.openxmlformats.org/officeDocument/2006/relationships/image" Target="media/image6.wmf"/><Relationship Id="rId30" Type="http://schemas.openxmlformats.org/officeDocument/2006/relationships/diagramQuickStyle" Target="diagrams/quickStyle1.xml"/><Relationship Id="rId35" Type="http://schemas.openxmlformats.org/officeDocument/2006/relationships/chart" Target="charts/chart3.xml"/><Relationship Id="rId43" Type="http://schemas.openxmlformats.org/officeDocument/2006/relationships/hyperlink" Target="https://escuelajudicialpj.poder-judicial.go.cr.pdf/" TargetMode="External"/><Relationship Id="rId48" Type="http://schemas.openxmlformats.org/officeDocument/2006/relationships/hyperlink" Target="http://www.costarica21.com/San-Jose-s.html" TargetMode="External"/><Relationship Id="rId56" Type="http://schemas.openxmlformats.org/officeDocument/2006/relationships/hyperlink" Target="http://www.codajic.org/sites/www.codajic.org." TargetMode="External"/><Relationship Id="rId64" Type="http://schemas.openxmlformats.org/officeDocument/2006/relationships/hyperlink" Target="https://observatoriodegenero.poder-judicial.go.cr/wp-content/uploads/2018/02/politicas-institucionales.pdf" TargetMode="External"/><Relationship Id="rId69" Type="http://schemas.openxmlformats.org/officeDocument/2006/relationships/hyperlink" Target="https://nexuspj.poder-judicial.go.cr/document/act-1-0003-754-0/acta" TargetMode="External"/><Relationship Id="rId77" Type="http://schemas.openxmlformats.org/officeDocument/2006/relationships/hyperlink" Target="https://www.acnur.org/fileadmin/Documentos/BDL/2009/7037.pdf" TargetMode="External"/><Relationship Id="rId8" Type="http://schemas.openxmlformats.org/officeDocument/2006/relationships/header" Target="header1.xml"/><Relationship Id="rId51" Type="http://schemas.openxmlformats.org/officeDocument/2006/relationships/hyperlink" Target="https://josedominguezblog.files.wordpress.com/2015/06/investigacion-fundamentos-y-metodologia.pdf" TargetMode="External"/><Relationship Id="rId72" Type="http://schemas.openxmlformats.org/officeDocument/2006/relationships/hyperlink" Target="http://www.pgrweb.go.cr/scij/busqueda/normativa/normas/nrm_texto_completo.aspx?param1=NRTC&amp;param2=1&amp;nValor1=1&amp;nValor2=34143&amp;strTipM=TC&amp;lResultado=5&amp;strSelect=sel"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2.ohchr.org/spanish/law/cedaw.htm" TargetMode="External"/><Relationship Id="rId17" Type="http://schemas.openxmlformats.org/officeDocument/2006/relationships/header" Target="header3.xml"/><Relationship Id="rId25" Type="http://schemas.openxmlformats.org/officeDocument/2006/relationships/image" Target="media/image6.emf"/><Relationship Id="rId33" Type="http://schemas.openxmlformats.org/officeDocument/2006/relationships/chart" Target="charts/chart1.xml"/><Relationship Id="rId38" Type="http://schemas.openxmlformats.org/officeDocument/2006/relationships/chart" Target="charts/chart6.xml"/><Relationship Id="rId46" Type="http://schemas.openxmlformats.org/officeDocument/2006/relationships/hyperlink" Target="file:///C:\Users\Lorena\Downloads\TFG%20Lorena%20McL%20rev.%2027%20ENERO%20(2).docx" TargetMode="External"/><Relationship Id="rId59" Type="http://schemas.openxmlformats.org/officeDocument/2006/relationships/hyperlink" Target="https://observatoriojusticiaygenero.gob.do/documentos/transparencia/informe_diagnostico_difnag.pdf" TargetMode="External"/><Relationship Id="rId67" Type="http://schemas.openxmlformats.org/officeDocument/2006/relationships/hyperlink" Target="https://books.google.co.cr/books" TargetMode="External"/><Relationship Id="rId41" Type="http://schemas.openxmlformats.org/officeDocument/2006/relationships/hyperlink" Target="https://www.alcmeon.com.ar/19/07_violenciagenero_arcas.pdf" TargetMode="External"/><Relationship Id="rId54" Type="http://schemas.openxmlformats.org/officeDocument/2006/relationships/hyperlink" Target="https://www.ugr.es/~setchift/docs/conciencia%206." TargetMode="External"/><Relationship Id="rId62" Type="http://schemas.openxmlformats.org/officeDocument/2006/relationships/hyperlink" Target="http://hdl.handle.net/20.500.12494" TargetMode="External"/><Relationship Id="rId70" Type="http://schemas.openxmlformats.org/officeDocument/2006/relationships/hyperlink" Target="https://secretariagenero.poder-judicial.go.cr/images/Documentos/PoliticaDeIgualdadDeGnero/Politica-de-Igualdad-de-Genero-del-Poder-Judicial.pdf" TargetMode="External"/><Relationship Id="rId75" Type="http://schemas.openxmlformats.org/officeDocument/2006/relationships/hyperlink" Target="https://www.unicef.org/Estudio_violencia_contra.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R"/>
              <a:t>Edades</a:t>
            </a:r>
            <a:r>
              <a:rPr lang="es-CR" baseline="0"/>
              <a:t> Promedio de los presuntos agresores</a:t>
            </a:r>
            <a:endParaRPr lang="es-C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R"/>
        </a:p>
      </c:txPr>
    </c:title>
    <c:autoTitleDeleted val="0"/>
    <c:plotArea>
      <c:layout/>
      <c:barChart>
        <c:barDir val="col"/>
        <c:grouping val="clustered"/>
        <c:varyColors val="0"/>
        <c:ser>
          <c:idx val="0"/>
          <c:order val="0"/>
          <c:tx>
            <c:strRef>
              <c:f>Hoja1!$B$1</c:f>
              <c:strCache>
                <c:ptCount val="1"/>
                <c:pt idx="0">
                  <c:v>Serie 1</c:v>
                </c:pt>
              </c:strCache>
            </c:strRef>
          </c:tx>
          <c:spPr>
            <a:solidFill>
              <a:schemeClr val="accent1"/>
            </a:solidFill>
            <a:ln>
              <a:noFill/>
            </a:ln>
            <a:effectLst/>
          </c:spPr>
          <c:invertIfNegative val="0"/>
          <c:cat>
            <c:strRef>
              <c:f>Hoja1!$A$2:$A$5</c:f>
              <c:strCache>
                <c:ptCount val="4"/>
                <c:pt idx="0">
                  <c:v>Reporte uno</c:v>
                </c:pt>
                <c:pt idx="1">
                  <c:v>Reporte 2</c:v>
                </c:pt>
                <c:pt idx="2">
                  <c:v>Reporte 3</c:v>
                </c:pt>
                <c:pt idx="3">
                  <c:v>Reporte 4</c:v>
                </c:pt>
              </c:strCache>
            </c:strRef>
          </c:cat>
          <c:val>
            <c:numRef>
              <c:f>Hoja1!$B$2:$B$5</c:f>
              <c:numCache>
                <c:formatCode>General</c:formatCode>
                <c:ptCount val="4"/>
                <c:pt idx="0">
                  <c:v>65</c:v>
                </c:pt>
                <c:pt idx="1">
                  <c:v>37</c:v>
                </c:pt>
                <c:pt idx="2">
                  <c:v>34</c:v>
                </c:pt>
                <c:pt idx="3">
                  <c:v>35</c:v>
                </c:pt>
              </c:numCache>
            </c:numRef>
          </c:val>
          <c:extLst>
            <c:ext xmlns:c16="http://schemas.microsoft.com/office/drawing/2014/chart" uri="{C3380CC4-5D6E-409C-BE32-E72D297353CC}">
              <c16:uniqueId val="{00000000-137F-49CD-AB4F-C9B04BF3C326}"/>
            </c:ext>
          </c:extLst>
        </c:ser>
        <c:ser>
          <c:idx val="1"/>
          <c:order val="1"/>
          <c:tx>
            <c:strRef>
              <c:f>Hoja1!$C$1</c:f>
              <c:strCache>
                <c:ptCount val="1"/>
                <c:pt idx="0">
                  <c:v>Columna1</c:v>
                </c:pt>
              </c:strCache>
            </c:strRef>
          </c:tx>
          <c:spPr>
            <a:solidFill>
              <a:schemeClr val="accent2"/>
            </a:solidFill>
            <a:ln>
              <a:noFill/>
            </a:ln>
            <a:effectLst/>
          </c:spPr>
          <c:invertIfNegative val="0"/>
          <c:cat>
            <c:strRef>
              <c:f>Hoja1!$A$2:$A$5</c:f>
              <c:strCache>
                <c:ptCount val="4"/>
                <c:pt idx="0">
                  <c:v>Reporte uno</c:v>
                </c:pt>
                <c:pt idx="1">
                  <c:v>Reporte 2</c:v>
                </c:pt>
                <c:pt idx="2">
                  <c:v>Reporte 3</c:v>
                </c:pt>
                <c:pt idx="3">
                  <c:v>Reporte 4</c:v>
                </c:pt>
              </c:strCache>
            </c:strRef>
          </c:cat>
          <c:val>
            <c:numRef>
              <c:f>Hoja1!$C$2:$C$5</c:f>
              <c:numCache>
                <c:formatCode>General</c:formatCode>
                <c:ptCount val="4"/>
              </c:numCache>
            </c:numRef>
          </c:val>
          <c:extLst>
            <c:ext xmlns:c16="http://schemas.microsoft.com/office/drawing/2014/chart" uri="{C3380CC4-5D6E-409C-BE32-E72D297353CC}">
              <c16:uniqueId val="{00000001-137F-49CD-AB4F-C9B04BF3C326}"/>
            </c:ext>
          </c:extLst>
        </c:ser>
        <c:ser>
          <c:idx val="2"/>
          <c:order val="2"/>
          <c:tx>
            <c:strRef>
              <c:f>Hoja1!$D$1</c:f>
              <c:strCache>
                <c:ptCount val="1"/>
                <c:pt idx="0">
                  <c:v>Columna2</c:v>
                </c:pt>
              </c:strCache>
            </c:strRef>
          </c:tx>
          <c:spPr>
            <a:solidFill>
              <a:schemeClr val="accent3"/>
            </a:solidFill>
            <a:ln>
              <a:noFill/>
            </a:ln>
            <a:effectLst/>
          </c:spPr>
          <c:invertIfNegative val="0"/>
          <c:cat>
            <c:strRef>
              <c:f>Hoja1!$A$2:$A$5</c:f>
              <c:strCache>
                <c:ptCount val="4"/>
                <c:pt idx="0">
                  <c:v>Reporte uno</c:v>
                </c:pt>
                <c:pt idx="1">
                  <c:v>Reporte 2</c:v>
                </c:pt>
                <c:pt idx="2">
                  <c:v>Reporte 3</c:v>
                </c:pt>
                <c:pt idx="3">
                  <c:v>Reporte 4</c:v>
                </c:pt>
              </c:strCache>
            </c:strRef>
          </c:cat>
          <c:val>
            <c:numRef>
              <c:f>Hoja1!$D$2:$D$5</c:f>
              <c:numCache>
                <c:formatCode>General</c:formatCode>
                <c:ptCount val="4"/>
              </c:numCache>
            </c:numRef>
          </c:val>
          <c:extLst>
            <c:ext xmlns:c16="http://schemas.microsoft.com/office/drawing/2014/chart" uri="{C3380CC4-5D6E-409C-BE32-E72D297353CC}">
              <c16:uniqueId val="{00000002-137F-49CD-AB4F-C9B04BF3C326}"/>
            </c:ext>
          </c:extLst>
        </c:ser>
        <c:dLbls>
          <c:showLegendKey val="0"/>
          <c:showVal val="0"/>
          <c:showCatName val="0"/>
          <c:showSerName val="0"/>
          <c:showPercent val="0"/>
          <c:showBubbleSize val="0"/>
        </c:dLbls>
        <c:gapWidth val="219"/>
        <c:overlap val="-27"/>
        <c:axId val="514610016"/>
        <c:axId val="514610344"/>
      </c:barChart>
      <c:catAx>
        <c:axId val="514610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514610344"/>
        <c:crosses val="autoZero"/>
        <c:auto val="1"/>
        <c:lblAlgn val="ctr"/>
        <c:lblOffset val="100"/>
        <c:noMultiLvlLbl val="0"/>
      </c:catAx>
      <c:valAx>
        <c:axId val="514610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51461001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R"/>
              <a:t>Actividad</a:t>
            </a:r>
            <a:r>
              <a:rPr lang="es-CR" baseline="0"/>
              <a:t> económica de las mujeres victimas de violencia intrafamiliar entre los 27 y 35 años </a:t>
            </a:r>
          </a:p>
          <a:p>
            <a:pPr>
              <a:defRPr/>
            </a:pPr>
            <a:r>
              <a:rPr lang="es-CR" baseline="0"/>
              <a:t>2018-2019</a:t>
            </a:r>
            <a:endParaRPr lang="es-C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R"/>
        </a:p>
      </c:txPr>
    </c:title>
    <c:autoTitleDeleted val="0"/>
    <c:plotArea>
      <c:layout/>
      <c:barChart>
        <c:barDir val="col"/>
        <c:grouping val="clustered"/>
        <c:varyColors val="0"/>
        <c:ser>
          <c:idx val="0"/>
          <c:order val="0"/>
          <c:tx>
            <c:strRef>
              <c:f>Hoja1!$B$1</c:f>
              <c:strCache>
                <c:ptCount val="1"/>
                <c:pt idx="0">
                  <c:v>Oficios del Hogar</c:v>
                </c:pt>
              </c:strCache>
            </c:strRef>
          </c:tx>
          <c:spPr>
            <a:solidFill>
              <a:schemeClr val="accent1"/>
            </a:solidFill>
            <a:ln>
              <a:noFill/>
            </a:ln>
            <a:effectLst/>
          </c:spPr>
          <c:invertIfNegative val="0"/>
          <c:cat>
            <c:strRef>
              <c:f>Hoja1!$A$2:$A$5</c:f>
              <c:strCache>
                <c:ptCount val="2"/>
                <c:pt idx="0">
                  <c:v>Categoría 1</c:v>
                </c:pt>
                <c:pt idx="1">
                  <c:v>Categoría 2</c:v>
                </c:pt>
              </c:strCache>
            </c:strRef>
          </c:cat>
          <c:val>
            <c:numRef>
              <c:f>Hoja1!$B$2:$B$5</c:f>
              <c:numCache>
                <c:formatCode>General</c:formatCode>
                <c:ptCount val="4"/>
                <c:pt idx="0">
                  <c:v>16</c:v>
                </c:pt>
              </c:numCache>
            </c:numRef>
          </c:val>
          <c:extLst>
            <c:ext xmlns:c16="http://schemas.microsoft.com/office/drawing/2014/chart" uri="{C3380CC4-5D6E-409C-BE32-E72D297353CC}">
              <c16:uniqueId val="{00000000-65D9-4DCD-A3B2-9933FF7FB09D}"/>
            </c:ext>
          </c:extLst>
        </c:ser>
        <c:ser>
          <c:idx val="1"/>
          <c:order val="1"/>
          <c:tx>
            <c:strRef>
              <c:f>Hoja1!$C$1</c:f>
              <c:strCache>
                <c:ptCount val="1"/>
                <c:pt idx="0">
                  <c:v>Profesionales</c:v>
                </c:pt>
              </c:strCache>
            </c:strRef>
          </c:tx>
          <c:spPr>
            <a:solidFill>
              <a:schemeClr val="accent2"/>
            </a:solidFill>
            <a:ln>
              <a:noFill/>
            </a:ln>
            <a:effectLst/>
          </c:spPr>
          <c:invertIfNegative val="0"/>
          <c:cat>
            <c:strRef>
              <c:f>Hoja1!$A$2:$A$5</c:f>
              <c:strCache>
                <c:ptCount val="2"/>
                <c:pt idx="0">
                  <c:v>Categoría 1</c:v>
                </c:pt>
                <c:pt idx="1">
                  <c:v>Categoría 2</c:v>
                </c:pt>
              </c:strCache>
            </c:strRef>
          </c:cat>
          <c:val>
            <c:numRef>
              <c:f>Hoja1!$C$2:$C$5</c:f>
              <c:numCache>
                <c:formatCode>General</c:formatCode>
                <c:ptCount val="4"/>
                <c:pt idx="0">
                  <c:v>3</c:v>
                </c:pt>
              </c:numCache>
            </c:numRef>
          </c:val>
          <c:extLst>
            <c:ext xmlns:c16="http://schemas.microsoft.com/office/drawing/2014/chart" uri="{C3380CC4-5D6E-409C-BE32-E72D297353CC}">
              <c16:uniqueId val="{00000001-65D9-4DCD-A3B2-9933FF7FB09D}"/>
            </c:ext>
          </c:extLst>
        </c:ser>
        <c:ser>
          <c:idx val="2"/>
          <c:order val="2"/>
          <c:tx>
            <c:strRef>
              <c:f>Hoja1!$D$1</c:f>
              <c:strCache>
                <c:ptCount val="1"/>
                <c:pt idx="0">
                  <c:v>Guardas de Seguridad y Servicio al Cliente</c:v>
                </c:pt>
              </c:strCache>
            </c:strRef>
          </c:tx>
          <c:spPr>
            <a:solidFill>
              <a:schemeClr val="accent3"/>
            </a:solidFill>
            <a:ln>
              <a:noFill/>
            </a:ln>
            <a:effectLst/>
          </c:spPr>
          <c:invertIfNegative val="0"/>
          <c:cat>
            <c:strRef>
              <c:f>Hoja1!$A$2:$A$5</c:f>
              <c:strCache>
                <c:ptCount val="2"/>
                <c:pt idx="0">
                  <c:v>Categoría 1</c:v>
                </c:pt>
                <c:pt idx="1">
                  <c:v>Categoría 2</c:v>
                </c:pt>
              </c:strCache>
            </c:strRef>
          </c:cat>
          <c:val>
            <c:numRef>
              <c:f>Hoja1!$D$2:$D$5</c:f>
              <c:numCache>
                <c:formatCode>General</c:formatCode>
                <c:ptCount val="4"/>
                <c:pt idx="0">
                  <c:v>2</c:v>
                </c:pt>
              </c:numCache>
            </c:numRef>
          </c:val>
          <c:extLst>
            <c:ext xmlns:c16="http://schemas.microsoft.com/office/drawing/2014/chart" uri="{C3380CC4-5D6E-409C-BE32-E72D297353CC}">
              <c16:uniqueId val="{00000002-65D9-4DCD-A3B2-9933FF7FB09D}"/>
            </c:ext>
          </c:extLst>
        </c:ser>
        <c:ser>
          <c:idx val="3"/>
          <c:order val="3"/>
          <c:tx>
            <c:strRef>
              <c:f>Hoja1!$E$1</c:f>
              <c:strCache>
                <c:ptCount val="1"/>
                <c:pt idx="0">
                  <c:v>Desempleada</c:v>
                </c:pt>
              </c:strCache>
            </c:strRef>
          </c:tx>
          <c:spPr>
            <a:solidFill>
              <a:schemeClr val="accent4"/>
            </a:solidFill>
            <a:ln>
              <a:noFill/>
            </a:ln>
            <a:effectLst/>
          </c:spPr>
          <c:invertIfNegative val="0"/>
          <c:cat>
            <c:strRef>
              <c:f>Hoja1!$A$2:$A$5</c:f>
              <c:strCache>
                <c:ptCount val="2"/>
                <c:pt idx="0">
                  <c:v>Categoría 1</c:v>
                </c:pt>
                <c:pt idx="1">
                  <c:v>Categoría 2</c:v>
                </c:pt>
              </c:strCache>
            </c:strRef>
          </c:cat>
          <c:val>
            <c:numRef>
              <c:f>Hoja1!$E$2:$E$5</c:f>
              <c:numCache>
                <c:formatCode>General</c:formatCode>
                <c:ptCount val="4"/>
                <c:pt idx="0">
                  <c:v>2</c:v>
                </c:pt>
              </c:numCache>
            </c:numRef>
          </c:val>
          <c:extLst>
            <c:ext xmlns:c16="http://schemas.microsoft.com/office/drawing/2014/chart" uri="{C3380CC4-5D6E-409C-BE32-E72D297353CC}">
              <c16:uniqueId val="{00000003-65D9-4DCD-A3B2-9933FF7FB09D}"/>
            </c:ext>
          </c:extLst>
        </c:ser>
        <c:ser>
          <c:idx val="4"/>
          <c:order val="4"/>
          <c:tx>
            <c:strRef>
              <c:f>Hoja1!$F$1</c:f>
              <c:strCache>
                <c:ptCount val="1"/>
                <c:pt idx="0">
                  <c:v>Vendedores, choferes, estilista, dependientes y misceláneas</c:v>
                </c:pt>
              </c:strCache>
            </c:strRef>
          </c:tx>
          <c:spPr>
            <a:solidFill>
              <a:schemeClr val="accent5"/>
            </a:solidFill>
            <a:ln>
              <a:noFill/>
            </a:ln>
            <a:effectLst/>
          </c:spPr>
          <c:invertIfNegative val="0"/>
          <c:cat>
            <c:strRef>
              <c:f>Hoja1!$A$2:$A$5</c:f>
              <c:strCache>
                <c:ptCount val="2"/>
                <c:pt idx="0">
                  <c:v>Categoría 1</c:v>
                </c:pt>
                <c:pt idx="1">
                  <c:v>Categoría 2</c:v>
                </c:pt>
              </c:strCache>
            </c:strRef>
          </c:cat>
          <c:val>
            <c:numRef>
              <c:f>Hoja1!$F$2:$F$5</c:f>
              <c:numCache>
                <c:formatCode>General</c:formatCode>
                <c:ptCount val="4"/>
                <c:pt idx="0">
                  <c:v>1</c:v>
                </c:pt>
              </c:numCache>
            </c:numRef>
          </c:val>
          <c:extLst>
            <c:ext xmlns:c16="http://schemas.microsoft.com/office/drawing/2014/chart" uri="{C3380CC4-5D6E-409C-BE32-E72D297353CC}">
              <c16:uniqueId val="{00000004-65D9-4DCD-A3B2-9933FF7FB09D}"/>
            </c:ext>
          </c:extLst>
        </c:ser>
        <c:dLbls>
          <c:showLegendKey val="0"/>
          <c:showVal val="0"/>
          <c:showCatName val="0"/>
          <c:showSerName val="0"/>
          <c:showPercent val="0"/>
          <c:showBubbleSize val="0"/>
        </c:dLbls>
        <c:gapWidth val="219"/>
        <c:overlap val="-27"/>
        <c:axId val="390144952"/>
        <c:axId val="386088576"/>
      </c:barChart>
      <c:catAx>
        <c:axId val="390144952"/>
        <c:scaling>
          <c:orientation val="minMax"/>
        </c:scaling>
        <c:delete val="1"/>
        <c:axPos val="b"/>
        <c:numFmt formatCode="General" sourceLinked="1"/>
        <c:majorTickMark val="none"/>
        <c:minorTickMark val="none"/>
        <c:tickLblPos val="nextTo"/>
        <c:crossAx val="386088576"/>
        <c:crosses val="autoZero"/>
        <c:auto val="1"/>
        <c:lblAlgn val="ctr"/>
        <c:lblOffset val="100"/>
        <c:noMultiLvlLbl val="0"/>
      </c:catAx>
      <c:valAx>
        <c:axId val="386088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390144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4102224534326831E-2"/>
          <c:y val="0.41866907784852248"/>
          <c:w val="0.90589777546567318"/>
          <c:h val="0.48341182232603702"/>
        </c:manualLayout>
      </c:layout>
      <c:barChart>
        <c:barDir val="col"/>
        <c:grouping val="clustered"/>
        <c:varyColors val="0"/>
        <c:ser>
          <c:idx val="0"/>
          <c:order val="0"/>
          <c:tx>
            <c:strRef>
              <c:f>Hoja1!$B$1</c:f>
              <c:strCache>
                <c:ptCount val="1"/>
                <c:pt idx="0">
                  <c:v>Solteras</c:v>
                </c:pt>
              </c:strCache>
            </c:strRef>
          </c:tx>
          <c:spPr>
            <a:solidFill>
              <a:schemeClr val="accent1"/>
            </a:solidFill>
            <a:ln>
              <a:noFill/>
            </a:ln>
            <a:effectLst/>
          </c:spPr>
          <c:invertIfNegative val="0"/>
          <c:cat>
            <c:strRef>
              <c:f>Hoja1!$A$2:$A$5</c:f>
              <c:strCache>
                <c:ptCount val="1"/>
                <c:pt idx="0">
                  <c:v>Categoría 1</c:v>
                </c:pt>
              </c:strCache>
            </c:strRef>
          </c:cat>
          <c:val>
            <c:numRef>
              <c:f>Hoja1!$B$2:$B$5</c:f>
              <c:numCache>
                <c:formatCode>General</c:formatCode>
                <c:ptCount val="4"/>
                <c:pt idx="0">
                  <c:v>27</c:v>
                </c:pt>
              </c:numCache>
            </c:numRef>
          </c:val>
          <c:extLst>
            <c:ext xmlns:c16="http://schemas.microsoft.com/office/drawing/2014/chart" uri="{C3380CC4-5D6E-409C-BE32-E72D297353CC}">
              <c16:uniqueId val="{00000000-ADAA-4A1B-B730-3C7946BD92C5}"/>
            </c:ext>
          </c:extLst>
        </c:ser>
        <c:ser>
          <c:idx val="1"/>
          <c:order val="1"/>
          <c:tx>
            <c:strRef>
              <c:f>Hoja1!$C$1</c:f>
              <c:strCache>
                <c:ptCount val="1"/>
                <c:pt idx="0">
                  <c:v>Casadas</c:v>
                </c:pt>
              </c:strCache>
            </c:strRef>
          </c:tx>
          <c:spPr>
            <a:solidFill>
              <a:schemeClr val="accent2"/>
            </a:solidFill>
            <a:ln>
              <a:noFill/>
            </a:ln>
            <a:effectLst/>
          </c:spPr>
          <c:invertIfNegative val="0"/>
          <c:cat>
            <c:strRef>
              <c:f>Hoja1!$A$2:$A$5</c:f>
              <c:strCache>
                <c:ptCount val="1"/>
                <c:pt idx="0">
                  <c:v>Categoría 1</c:v>
                </c:pt>
              </c:strCache>
            </c:strRef>
          </c:cat>
          <c:val>
            <c:numRef>
              <c:f>Hoja1!$C$2:$C$5</c:f>
              <c:numCache>
                <c:formatCode>General</c:formatCode>
                <c:ptCount val="4"/>
                <c:pt idx="0">
                  <c:v>2</c:v>
                </c:pt>
              </c:numCache>
            </c:numRef>
          </c:val>
          <c:extLst>
            <c:ext xmlns:c16="http://schemas.microsoft.com/office/drawing/2014/chart" uri="{C3380CC4-5D6E-409C-BE32-E72D297353CC}">
              <c16:uniqueId val="{00000001-ADAA-4A1B-B730-3C7946BD92C5}"/>
            </c:ext>
          </c:extLst>
        </c:ser>
        <c:ser>
          <c:idx val="2"/>
          <c:order val="2"/>
          <c:tx>
            <c:strRef>
              <c:f>Hoja1!$D$1</c:f>
              <c:strCache>
                <c:ptCount val="1"/>
                <c:pt idx="0">
                  <c:v>Divorciadas</c:v>
                </c:pt>
              </c:strCache>
            </c:strRef>
          </c:tx>
          <c:spPr>
            <a:solidFill>
              <a:schemeClr val="accent3"/>
            </a:solidFill>
            <a:ln>
              <a:noFill/>
            </a:ln>
            <a:effectLst/>
          </c:spPr>
          <c:invertIfNegative val="0"/>
          <c:cat>
            <c:strRef>
              <c:f>Hoja1!$A$2:$A$5</c:f>
              <c:strCache>
                <c:ptCount val="1"/>
                <c:pt idx="0">
                  <c:v>Categoría 1</c:v>
                </c:pt>
              </c:strCache>
            </c:strRef>
          </c:cat>
          <c:val>
            <c:numRef>
              <c:f>Hoja1!$D$2:$D$5</c:f>
              <c:numCache>
                <c:formatCode>General</c:formatCode>
                <c:ptCount val="4"/>
                <c:pt idx="0">
                  <c:v>1</c:v>
                </c:pt>
              </c:numCache>
            </c:numRef>
          </c:val>
          <c:extLst>
            <c:ext xmlns:c16="http://schemas.microsoft.com/office/drawing/2014/chart" uri="{C3380CC4-5D6E-409C-BE32-E72D297353CC}">
              <c16:uniqueId val="{00000002-ADAA-4A1B-B730-3C7946BD92C5}"/>
            </c:ext>
          </c:extLst>
        </c:ser>
        <c:dLbls>
          <c:showLegendKey val="0"/>
          <c:showVal val="0"/>
          <c:showCatName val="0"/>
          <c:showSerName val="0"/>
          <c:showPercent val="0"/>
          <c:showBubbleSize val="0"/>
        </c:dLbls>
        <c:gapWidth val="219"/>
        <c:overlap val="-27"/>
        <c:axId val="514781352"/>
        <c:axId val="514781680"/>
      </c:barChart>
      <c:catAx>
        <c:axId val="514781352"/>
        <c:scaling>
          <c:orientation val="minMax"/>
        </c:scaling>
        <c:delete val="1"/>
        <c:axPos val="b"/>
        <c:numFmt formatCode="General" sourceLinked="1"/>
        <c:majorTickMark val="none"/>
        <c:minorTickMark val="none"/>
        <c:tickLblPos val="nextTo"/>
        <c:crossAx val="514781680"/>
        <c:crosses val="autoZero"/>
        <c:auto val="1"/>
        <c:lblAlgn val="ctr"/>
        <c:lblOffset val="100"/>
        <c:noMultiLvlLbl val="0"/>
      </c:catAx>
      <c:valAx>
        <c:axId val="514781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514781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s-CR"/>
              <a:t> Nacionalidad de las mujeres victimas de violencia intrafamiliar</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s-CR"/>
        </a:p>
      </c:txPr>
    </c:title>
    <c:autoTitleDeleted val="0"/>
    <c:plotArea>
      <c:layout/>
      <c:barChart>
        <c:barDir val="col"/>
        <c:grouping val="clustered"/>
        <c:varyColors val="0"/>
        <c:ser>
          <c:idx val="0"/>
          <c:order val="0"/>
          <c:tx>
            <c:strRef>
              <c:f>Hoja1!$B$1</c:f>
              <c:strCache>
                <c:ptCount val="1"/>
                <c:pt idx="0">
                  <c:v>Costarricenses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Hoja1!$A$2:$A$5</c:f>
              <c:strCache>
                <c:ptCount val="1"/>
                <c:pt idx="0">
                  <c:v>Categoría 1</c:v>
                </c:pt>
              </c:strCache>
            </c:strRef>
          </c:cat>
          <c:val>
            <c:numRef>
              <c:f>Hoja1!$B$2:$B$5</c:f>
              <c:numCache>
                <c:formatCode>General</c:formatCode>
                <c:ptCount val="4"/>
                <c:pt idx="0">
                  <c:v>25</c:v>
                </c:pt>
              </c:numCache>
            </c:numRef>
          </c:val>
          <c:extLst>
            <c:ext xmlns:c16="http://schemas.microsoft.com/office/drawing/2014/chart" uri="{C3380CC4-5D6E-409C-BE32-E72D297353CC}">
              <c16:uniqueId val="{00000000-1744-421E-9AC1-218A06CD5A79}"/>
            </c:ext>
          </c:extLst>
        </c:ser>
        <c:ser>
          <c:idx val="1"/>
          <c:order val="1"/>
          <c:tx>
            <c:strRef>
              <c:f>Hoja1!$C$1</c:f>
              <c:strCache>
                <c:ptCount val="1"/>
                <c:pt idx="0">
                  <c:v>Nicaraguenses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Hoja1!$A$2:$A$5</c:f>
              <c:strCache>
                <c:ptCount val="1"/>
                <c:pt idx="0">
                  <c:v>Categoría 1</c:v>
                </c:pt>
              </c:strCache>
            </c:strRef>
          </c:cat>
          <c:val>
            <c:numRef>
              <c:f>Hoja1!$C$2:$C$5</c:f>
              <c:numCache>
                <c:formatCode>General</c:formatCode>
                <c:ptCount val="4"/>
                <c:pt idx="0">
                  <c:v>3</c:v>
                </c:pt>
              </c:numCache>
            </c:numRef>
          </c:val>
          <c:extLst>
            <c:ext xmlns:c16="http://schemas.microsoft.com/office/drawing/2014/chart" uri="{C3380CC4-5D6E-409C-BE32-E72D297353CC}">
              <c16:uniqueId val="{00000001-1744-421E-9AC1-218A06CD5A79}"/>
            </c:ext>
          </c:extLst>
        </c:ser>
        <c:ser>
          <c:idx val="2"/>
          <c:order val="2"/>
          <c:tx>
            <c:strRef>
              <c:f>Hoja1!$D$1</c:f>
              <c:strCache>
                <c:ptCount val="1"/>
                <c:pt idx="0">
                  <c:v>República Dominicana</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Hoja1!$A$2:$A$5</c:f>
              <c:strCache>
                <c:ptCount val="1"/>
                <c:pt idx="0">
                  <c:v>Categoría 1</c:v>
                </c:pt>
              </c:strCache>
            </c:strRef>
          </c:cat>
          <c:val>
            <c:numRef>
              <c:f>Hoja1!$D$2:$D$5</c:f>
              <c:numCache>
                <c:formatCode>General</c:formatCode>
                <c:ptCount val="4"/>
                <c:pt idx="0">
                  <c:v>1</c:v>
                </c:pt>
              </c:numCache>
            </c:numRef>
          </c:val>
          <c:extLst>
            <c:ext xmlns:c16="http://schemas.microsoft.com/office/drawing/2014/chart" uri="{C3380CC4-5D6E-409C-BE32-E72D297353CC}">
              <c16:uniqueId val="{00000002-1744-421E-9AC1-218A06CD5A79}"/>
            </c:ext>
          </c:extLst>
        </c:ser>
        <c:ser>
          <c:idx val="3"/>
          <c:order val="3"/>
          <c:tx>
            <c:strRef>
              <c:f>Hoja1!$E$1</c:f>
              <c:strCache>
                <c:ptCount val="1"/>
                <c:pt idx="0">
                  <c:v>Colombia</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Hoja1!$A$2:$A$5</c:f>
              <c:strCache>
                <c:ptCount val="1"/>
                <c:pt idx="0">
                  <c:v>Categoría 1</c:v>
                </c:pt>
              </c:strCache>
            </c:strRef>
          </c:cat>
          <c:val>
            <c:numRef>
              <c:f>Hoja1!$E$2:$E$5</c:f>
              <c:numCache>
                <c:formatCode>General</c:formatCode>
                <c:ptCount val="4"/>
                <c:pt idx="0">
                  <c:v>1</c:v>
                </c:pt>
              </c:numCache>
            </c:numRef>
          </c:val>
          <c:extLst>
            <c:ext xmlns:c16="http://schemas.microsoft.com/office/drawing/2014/chart" uri="{C3380CC4-5D6E-409C-BE32-E72D297353CC}">
              <c16:uniqueId val="{00000003-1744-421E-9AC1-218A06CD5A79}"/>
            </c:ext>
          </c:extLst>
        </c:ser>
        <c:dLbls>
          <c:showLegendKey val="0"/>
          <c:showVal val="0"/>
          <c:showCatName val="0"/>
          <c:showSerName val="0"/>
          <c:showPercent val="0"/>
          <c:showBubbleSize val="0"/>
        </c:dLbls>
        <c:gapWidth val="150"/>
        <c:axId val="512604824"/>
        <c:axId val="512611056"/>
      </c:barChart>
      <c:catAx>
        <c:axId val="512604824"/>
        <c:scaling>
          <c:orientation val="minMax"/>
        </c:scaling>
        <c:delete val="1"/>
        <c:axPos val="b"/>
        <c:numFmt formatCode="General" sourceLinked="1"/>
        <c:majorTickMark val="none"/>
        <c:minorTickMark val="none"/>
        <c:tickLblPos val="nextTo"/>
        <c:crossAx val="512611056"/>
        <c:crosses val="autoZero"/>
        <c:auto val="1"/>
        <c:lblAlgn val="ctr"/>
        <c:lblOffset val="100"/>
        <c:noMultiLvlLbl val="0"/>
      </c:catAx>
      <c:valAx>
        <c:axId val="512611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5126048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R"/>
              <a:t>CANTONES DE</a:t>
            </a:r>
            <a:r>
              <a:rPr lang="es-CR" baseline="0"/>
              <a:t> SAN JOSÉCON MAYOR INDICE DE VIOLENCIA </a:t>
            </a:r>
            <a:endParaRPr lang="es-C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R"/>
        </a:p>
      </c:txPr>
    </c:title>
    <c:autoTitleDeleted val="0"/>
    <c:plotArea>
      <c:layout/>
      <c:barChart>
        <c:barDir val="col"/>
        <c:grouping val="clustered"/>
        <c:varyColors val="0"/>
        <c:ser>
          <c:idx val="0"/>
          <c:order val="0"/>
          <c:tx>
            <c:strRef>
              <c:f>Hoja1!$B$1</c:f>
              <c:strCache>
                <c:ptCount val="1"/>
                <c:pt idx="0">
                  <c:v>Goicochea</c:v>
                </c:pt>
              </c:strCache>
            </c:strRef>
          </c:tx>
          <c:spPr>
            <a:solidFill>
              <a:schemeClr val="accent1"/>
            </a:solidFill>
            <a:ln>
              <a:noFill/>
            </a:ln>
            <a:effectLst/>
          </c:spPr>
          <c:invertIfNegative val="0"/>
          <c:cat>
            <c:strRef>
              <c:f>Hoja1!$A$2:$A$5</c:f>
              <c:strCache>
                <c:ptCount val="1"/>
                <c:pt idx="0">
                  <c:v>Categoría 1</c:v>
                </c:pt>
              </c:strCache>
            </c:strRef>
          </c:cat>
          <c:val>
            <c:numRef>
              <c:f>Hoja1!$B$2:$B$5</c:f>
              <c:numCache>
                <c:formatCode>General</c:formatCode>
                <c:ptCount val="4"/>
                <c:pt idx="0">
                  <c:v>6</c:v>
                </c:pt>
              </c:numCache>
            </c:numRef>
          </c:val>
          <c:extLst>
            <c:ext xmlns:c16="http://schemas.microsoft.com/office/drawing/2014/chart" uri="{C3380CC4-5D6E-409C-BE32-E72D297353CC}">
              <c16:uniqueId val="{00000000-48BB-4F36-BD9D-86F279F3B329}"/>
            </c:ext>
          </c:extLst>
        </c:ser>
        <c:ser>
          <c:idx val="1"/>
          <c:order val="1"/>
          <c:tx>
            <c:strRef>
              <c:f>Hoja1!$C$1</c:f>
              <c:strCache>
                <c:ptCount val="1"/>
                <c:pt idx="0">
                  <c:v>Coronado,Moravia y Montes de Oca</c:v>
                </c:pt>
              </c:strCache>
            </c:strRef>
          </c:tx>
          <c:spPr>
            <a:solidFill>
              <a:schemeClr val="accent2"/>
            </a:solidFill>
            <a:ln>
              <a:noFill/>
            </a:ln>
            <a:effectLst/>
          </c:spPr>
          <c:invertIfNegative val="0"/>
          <c:cat>
            <c:strRef>
              <c:f>Hoja1!$A$2:$A$5</c:f>
              <c:strCache>
                <c:ptCount val="1"/>
                <c:pt idx="0">
                  <c:v>Categoría 1</c:v>
                </c:pt>
              </c:strCache>
            </c:strRef>
          </c:cat>
          <c:val>
            <c:numRef>
              <c:f>Hoja1!$C$2:$C$5</c:f>
              <c:numCache>
                <c:formatCode>General</c:formatCode>
                <c:ptCount val="4"/>
                <c:pt idx="0">
                  <c:v>4</c:v>
                </c:pt>
              </c:numCache>
            </c:numRef>
          </c:val>
          <c:extLst>
            <c:ext xmlns:c16="http://schemas.microsoft.com/office/drawing/2014/chart" uri="{C3380CC4-5D6E-409C-BE32-E72D297353CC}">
              <c16:uniqueId val="{00000001-48BB-4F36-BD9D-86F279F3B329}"/>
            </c:ext>
          </c:extLst>
        </c:ser>
        <c:ser>
          <c:idx val="2"/>
          <c:order val="2"/>
          <c:tx>
            <c:strRef>
              <c:f>Hoja1!$D$1</c:f>
              <c:strCache>
                <c:ptCount val="1"/>
                <c:pt idx="0">
                  <c:v>Curri</c:v>
                </c:pt>
              </c:strCache>
            </c:strRef>
          </c:tx>
          <c:spPr>
            <a:solidFill>
              <a:schemeClr val="accent3"/>
            </a:solidFill>
            <a:ln>
              <a:noFill/>
            </a:ln>
            <a:effectLst/>
          </c:spPr>
          <c:invertIfNegative val="0"/>
          <c:cat>
            <c:strRef>
              <c:f>Hoja1!$A$2:$A$5</c:f>
              <c:strCache>
                <c:ptCount val="1"/>
                <c:pt idx="0">
                  <c:v>Categoría 1</c:v>
                </c:pt>
              </c:strCache>
            </c:strRef>
          </c:cat>
          <c:val>
            <c:numRef>
              <c:f>Hoja1!$D$2:$D$5</c:f>
              <c:numCache>
                <c:formatCode>General</c:formatCode>
                <c:ptCount val="4"/>
                <c:pt idx="0">
                  <c:v>3</c:v>
                </c:pt>
              </c:numCache>
            </c:numRef>
          </c:val>
          <c:extLst>
            <c:ext xmlns:c16="http://schemas.microsoft.com/office/drawing/2014/chart" uri="{C3380CC4-5D6E-409C-BE32-E72D297353CC}">
              <c16:uniqueId val="{00000002-48BB-4F36-BD9D-86F279F3B329}"/>
            </c:ext>
          </c:extLst>
        </c:ser>
        <c:ser>
          <c:idx val="3"/>
          <c:order val="3"/>
          <c:tx>
            <c:strRef>
              <c:f>Hoja1!$E$1</c:f>
              <c:strCache>
                <c:ptCount val="1"/>
                <c:pt idx="0">
                  <c:v>Tibás</c:v>
                </c:pt>
              </c:strCache>
            </c:strRef>
          </c:tx>
          <c:spPr>
            <a:solidFill>
              <a:schemeClr val="accent4"/>
            </a:solidFill>
            <a:ln>
              <a:noFill/>
            </a:ln>
            <a:effectLst/>
          </c:spPr>
          <c:invertIfNegative val="0"/>
          <c:cat>
            <c:strRef>
              <c:f>Hoja1!$A$2:$A$5</c:f>
              <c:strCache>
                <c:ptCount val="1"/>
                <c:pt idx="0">
                  <c:v>Categoría 1</c:v>
                </c:pt>
              </c:strCache>
            </c:strRef>
          </c:cat>
          <c:val>
            <c:numRef>
              <c:f>Hoja1!$E$2:$E$5</c:f>
              <c:numCache>
                <c:formatCode>General</c:formatCode>
                <c:ptCount val="4"/>
                <c:pt idx="0">
                  <c:v>2</c:v>
                </c:pt>
              </c:numCache>
            </c:numRef>
          </c:val>
          <c:extLst>
            <c:ext xmlns:c16="http://schemas.microsoft.com/office/drawing/2014/chart" uri="{C3380CC4-5D6E-409C-BE32-E72D297353CC}">
              <c16:uniqueId val="{00000003-48BB-4F36-BD9D-86F279F3B329}"/>
            </c:ext>
          </c:extLst>
        </c:ser>
        <c:ser>
          <c:idx val="4"/>
          <c:order val="4"/>
          <c:tx>
            <c:strRef>
              <c:f>Hoja1!$F$1</c:f>
              <c:strCache>
                <c:ptCount val="1"/>
                <c:pt idx="0">
                  <c:v>Otros</c:v>
                </c:pt>
              </c:strCache>
            </c:strRef>
          </c:tx>
          <c:spPr>
            <a:solidFill>
              <a:schemeClr val="accent5"/>
            </a:solidFill>
            <a:ln>
              <a:noFill/>
            </a:ln>
            <a:effectLst/>
          </c:spPr>
          <c:invertIfNegative val="0"/>
          <c:cat>
            <c:strRef>
              <c:f>Hoja1!$A$2:$A$5</c:f>
              <c:strCache>
                <c:ptCount val="1"/>
                <c:pt idx="0">
                  <c:v>Categoría 1</c:v>
                </c:pt>
              </c:strCache>
            </c:strRef>
          </c:cat>
          <c:val>
            <c:numRef>
              <c:f>Hoja1!$F$2:$F$5</c:f>
              <c:numCache>
                <c:formatCode>General</c:formatCode>
                <c:ptCount val="4"/>
                <c:pt idx="0">
                  <c:v>1</c:v>
                </c:pt>
              </c:numCache>
            </c:numRef>
          </c:val>
          <c:extLst>
            <c:ext xmlns:c16="http://schemas.microsoft.com/office/drawing/2014/chart" uri="{C3380CC4-5D6E-409C-BE32-E72D297353CC}">
              <c16:uniqueId val="{00000004-48BB-4F36-BD9D-86F279F3B329}"/>
            </c:ext>
          </c:extLst>
        </c:ser>
        <c:dLbls>
          <c:showLegendKey val="0"/>
          <c:showVal val="0"/>
          <c:showCatName val="0"/>
          <c:showSerName val="0"/>
          <c:showPercent val="0"/>
          <c:showBubbleSize val="0"/>
        </c:dLbls>
        <c:gapWidth val="219"/>
        <c:overlap val="-27"/>
        <c:axId val="678838400"/>
        <c:axId val="678835776"/>
      </c:barChart>
      <c:catAx>
        <c:axId val="678838400"/>
        <c:scaling>
          <c:orientation val="minMax"/>
        </c:scaling>
        <c:delete val="1"/>
        <c:axPos val="b"/>
        <c:numFmt formatCode="General" sourceLinked="1"/>
        <c:majorTickMark val="none"/>
        <c:minorTickMark val="none"/>
        <c:tickLblPos val="nextTo"/>
        <c:crossAx val="678835776"/>
        <c:crosses val="autoZero"/>
        <c:auto val="1"/>
        <c:lblAlgn val="ctr"/>
        <c:lblOffset val="100"/>
        <c:noMultiLvlLbl val="0"/>
      </c:catAx>
      <c:valAx>
        <c:axId val="678835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678838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R"/>
        </a:p>
      </c:txPr>
    </c:title>
    <c:autoTitleDeleted val="0"/>
    <c:plotArea>
      <c:layout/>
      <c:pieChart>
        <c:varyColors val="1"/>
        <c:ser>
          <c:idx val="0"/>
          <c:order val="0"/>
          <c:tx>
            <c:strRef>
              <c:f>Hoja1!$B$1</c:f>
              <c:strCache>
                <c:ptCount val="1"/>
                <c:pt idx="0">
                  <c:v>Tipos de Violencia Intrafamiliar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5E-4CE6-8E92-471C123E154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5E-4CE6-8E92-471C123E154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45E-4CE6-8E92-471C123E154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45E-4CE6-8E92-471C123E15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R"/>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Hoja1!$A$2:$A$5</c:f>
              <c:strCache>
                <c:ptCount val="4"/>
                <c:pt idx="0">
                  <c:v>Violencia Verbal y Psicológica</c:v>
                </c:pt>
                <c:pt idx="1">
                  <c:v>Violencia Patrimonial</c:v>
                </c:pt>
                <c:pt idx="2">
                  <c:v>Violencia Física</c:v>
                </c:pt>
                <c:pt idx="3">
                  <c:v>Violencia Sexual</c:v>
                </c:pt>
              </c:strCache>
            </c:strRef>
          </c:cat>
          <c:val>
            <c:numRef>
              <c:f>Hoja1!$B$2:$B$5</c:f>
              <c:numCache>
                <c:formatCode>General</c:formatCode>
                <c:ptCount val="4"/>
                <c:pt idx="0">
                  <c:v>23</c:v>
                </c:pt>
                <c:pt idx="1">
                  <c:v>20</c:v>
                </c:pt>
                <c:pt idx="2">
                  <c:v>17</c:v>
                </c:pt>
                <c:pt idx="3">
                  <c:v>1.2</c:v>
                </c:pt>
              </c:numCache>
            </c:numRef>
          </c:val>
          <c:extLst>
            <c:ext xmlns:c16="http://schemas.microsoft.com/office/drawing/2014/chart" uri="{C3380CC4-5D6E-409C-BE32-E72D297353CC}">
              <c16:uniqueId val="{00000008-F45E-4CE6-8E92-471C123E154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R"/>
        </a:p>
      </c:txPr>
    </c:title>
    <c:autoTitleDeleted val="0"/>
    <c:plotArea>
      <c:layout/>
      <c:pieChart>
        <c:varyColors val="1"/>
        <c:ser>
          <c:idx val="0"/>
          <c:order val="0"/>
          <c:tx>
            <c:strRef>
              <c:f>Hoja1!$B$1</c:f>
              <c:strCache>
                <c:ptCount val="1"/>
                <c:pt idx="0">
                  <c:v>Ocasiones en que la presunta víctima gestionó medidas de protección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052-4B2B-AA28-0A666C4DDC4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052-4B2B-AA28-0A666C4DDC4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052-4B2B-AA28-0A666C4DDC4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052-4B2B-AA28-0A666C4DDC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R"/>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Hoja1!$A$2:$A$5</c:f>
              <c:strCache>
                <c:ptCount val="3"/>
                <c:pt idx="0">
                  <c:v>Primera vez</c:v>
                </c:pt>
                <c:pt idx="1">
                  <c:v>Segunada vez</c:v>
                </c:pt>
                <c:pt idx="2">
                  <c:v>Tercera vez</c:v>
                </c:pt>
              </c:strCache>
            </c:strRef>
          </c:cat>
          <c:val>
            <c:numRef>
              <c:f>Hoja1!$B$2:$B$5</c:f>
              <c:numCache>
                <c:formatCode>General</c:formatCode>
                <c:ptCount val="4"/>
                <c:pt idx="0">
                  <c:v>19</c:v>
                </c:pt>
                <c:pt idx="1">
                  <c:v>7</c:v>
                </c:pt>
                <c:pt idx="2">
                  <c:v>2</c:v>
                </c:pt>
              </c:numCache>
            </c:numRef>
          </c:val>
          <c:extLst>
            <c:ext xmlns:c16="http://schemas.microsoft.com/office/drawing/2014/chart" uri="{C3380CC4-5D6E-409C-BE32-E72D297353CC}">
              <c16:uniqueId val="{00000008-A052-4B2B-AA28-0A666C4DDC4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R"/>
              <a:t>Momento</a:t>
            </a:r>
            <a:r>
              <a:rPr lang="es-CR" baseline="0"/>
              <a:t> de la detección de la Vulnerabilidad Cognitiva</a:t>
            </a:r>
            <a:endParaRPr lang="es-C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R"/>
        </a:p>
      </c:txPr>
    </c:title>
    <c:autoTitleDeleted val="0"/>
    <c:plotArea>
      <c:layout/>
      <c:barChart>
        <c:barDir val="col"/>
        <c:grouping val="clustered"/>
        <c:varyColors val="0"/>
        <c:ser>
          <c:idx val="0"/>
          <c:order val="0"/>
          <c:tx>
            <c:strRef>
              <c:f>Hoja1!$B$1</c:f>
              <c:strCache>
                <c:ptCount val="1"/>
                <c:pt idx="0">
                  <c:v>Columna3</c:v>
                </c:pt>
              </c:strCache>
            </c:strRef>
          </c:tx>
          <c:spPr>
            <a:solidFill>
              <a:schemeClr val="accent1"/>
            </a:solidFill>
            <a:ln>
              <a:noFill/>
            </a:ln>
            <a:effectLst/>
          </c:spPr>
          <c:invertIfNegative val="0"/>
          <c:cat>
            <c:strRef>
              <c:f>Hoja1!$A$2:$A$6</c:f>
              <c:strCache>
                <c:ptCount val="5"/>
                <c:pt idx="0">
                  <c:v>Inicio que técnico consulte</c:v>
                </c:pt>
                <c:pt idx="1">
                  <c:v>Audiencia</c:v>
                </c:pt>
                <c:pt idx="2">
                  <c:v>Valoración Pericial</c:v>
                </c:pt>
                <c:pt idx="3">
                  <c:v>Inicio por padecimiento mental</c:v>
                </c:pt>
                <c:pt idx="4">
                  <c:v> No contexto </c:v>
                </c:pt>
              </c:strCache>
            </c:strRef>
          </c:cat>
          <c:val>
            <c:numRef>
              <c:f>Hoja1!$B$2:$B$6</c:f>
              <c:numCache>
                <c:formatCode>General</c:formatCode>
                <c:ptCount val="5"/>
                <c:pt idx="0">
                  <c:v>3</c:v>
                </c:pt>
                <c:pt idx="1">
                  <c:v>3</c:v>
                </c:pt>
                <c:pt idx="2">
                  <c:v>2</c:v>
                </c:pt>
                <c:pt idx="3">
                  <c:v>1</c:v>
                </c:pt>
                <c:pt idx="4">
                  <c:v>1</c:v>
                </c:pt>
              </c:numCache>
            </c:numRef>
          </c:val>
          <c:extLst>
            <c:ext xmlns:c16="http://schemas.microsoft.com/office/drawing/2014/chart" uri="{C3380CC4-5D6E-409C-BE32-E72D297353CC}">
              <c16:uniqueId val="{00000000-1139-4740-BC8C-CA9F82CCC790}"/>
            </c:ext>
          </c:extLst>
        </c:ser>
        <c:dLbls>
          <c:showLegendKey val="0"/>
          <c:showVal val="0"/>
          <c:showCatName val="0"/>
          <c:showSerName val="0"/>
          <c:showPercent val="0"/>
          <c:showBubbleSize val="0"/>
        </c:dLbls>
        <c:gapWidth val="219"/>
        <c:overlap val="-27"/>
        <c:axId val="539889328"/>
        <c:axId val="539890312"/>
      </c:barChart>
      <c:catAx>
        <c:axId val="539889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539890312"/>
        <c:crosses val="autoZero"/>
        <c:auto val="1"/>
        <c:lblAlgn val="ctr"/>
        <c:lblOffset val="100"/>
        <c:noMultiLvlLbl val="0"/>
      </c:catAx>
      <c:valAx>
        <c:axId val="539890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R"/>
          </a:p>
        </c:txPr>
        <c:crossAx val="5398893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D2382D-20BA-4AC7-AF4B-DD3185E983E3}" type="doc">
      <dgm:prSet loTypeId="urn:microsoft.com/office/officeart/2005/8/layout/venn1" loCatId="relationship" qsTypeId="urn:microsoft.com/office/officeart/2005/8/quickstyle/simple1" qsCatId="simple" csTypeId="urn:microsoft.com/office/officeart/2005/8/colors/colorful1" csCatId="colorful" phldr="1"/>
      <dgm:spPr/>
    </dgm:pt>
    <dgm:pt modelId="{A0D1AC83-CAB8-4E62-A42B-2A5216B882C1}">
      <dgm:prSet phldrT="[Texto]"/>
      <dgm:spPr/>
      <dgm:t>
        <a:bodyPr/>
        <a:lstStyle/>
        <a:p>
          <a:pPr algn="ctr"/>
          <a:r>
            <a:rPr lang="es-ES"/>
            <a:t>Legislación</a:t>
          </a:r>
        </a:p>
      </dgm:t>
    </dgm:pt>
    <dgm:pt modelId="{6F91A724-794C-44E9-B454-33290D5F4647}" type="parTrans" cxnId="{8F4A0E40-DB18-4ABB-B2B8-A05757B87155}">
      <dgm:prSet/>
      <dgm:spPr/>
      <dgm:t>
        <a:bodyPr/>
        <a:lstStyle/>
        <a:p>
          <a:pPr algn="ctr"/>
          <a:endParaRPr lang="es-ES"/>
        </a:p>
      </dgm:t>
    </dgm:pt>
    <dgm:pt modelId="{95074552-5254-4B77-AAFF-92972ED067BD}" type="sibTrans" cxnId="{8F4A0E40-DB18-4ABB-B2B8-A05757B87155}">
      <dgm:prSet/>
      <dgm:spPr/>
      <dgm:t>
        <a:bodyPr/>
        <a:lstStyle/>
        <a:p>
          <a:pPr algn="ctr"/>
          <a:endParaRPr lang="es-ES"/>
        </a:p>
      </dgm:t>
    </dgm:pt>
    <dgm:pt modelId="{BBE37A26-4698-4450-B5E3-ADB6543B2A5E}">
      <dgm:prSet phldrT="[Texto]"/>
      <dgm:spPr/>
      <dgm:t>
        <a:bodyPr/>
        <a:lstStyle/>
        <a:p>
          <a:pPr algn="ctr"/>
          <a:r>
            <a:rPr lang="es-ES"/>
            <a:t>Atención Usuaria</a:t>
          </a:r>
        </a:p>
      </dgm:t>
    </dgm:pt>
    <dgm:pt modelId="{980FE90B-ED5E-47F6-B341-1565A707FCB0}" type="parTrans" cxnId="{8FAF17BC-E910-413C-AA5E-CD234EA1AA98}">
      <dgm:prSet/>
      <dgm:spPr/>
      <dgm:t>
        <a:bodyPr/>
        <a:lstStyle/>
        <a:p>
          <a:pPr algn="ctr"/>
          <a:endParaRPr lang="es-ES"/>
        </a:p>
      </dgm:t>
    </dgm:pt>
    <dgm:pt modelId="{F10CC286-3887-40FB-9068-F85084772DB2}" type="sibTrans" cxnId="{8FAF17BC-E910-413C-AA5E-CD234EA1AA98}">
      <dgm:prSet/>
      <dgm:spPr/>
      <dgm:t>
        <a:bodyPr/>
        <a:lstStyle/>
        <a:p>
          <a:pPr algn="ctr"/>
          <a:endParaRPr lang="es-ES"/>
        </a:p>
      </dgm:t>
    </dgm:pt>
    <dgm:pt modelId="{E975A5C7-B42C-4038-9CA9-6B8D6C482587}">
      <dgm:prSet phldrT="[Texto]"/>
      <dgm:spPr/>
      <dgm:t>
        <a:bodyPr/>
        <a:lstStyle/>
        <a:p>
          <a:pPr algn="ctr"/>
          <a:r>
            <a:rPr lang="es-ES"/>
            <a:t>Pericia</a:t>
          </a:r>
        </a:p>
      </dgm:t>
    </dgm:pt>
    <dgm:pt modelId="{6192C540-2AF5-49C3-99DE-0A4C64DF6018}" type="parTrans" cxnId="{978539F8-077A-4A0D-AAF2-189C45BCCFEE}">
      <dgm:prSet/>
      <dgm:spPr/>
      <dgm:t>
        <a:bodyPr/>
        <a:lstStyle/>
        <a:p>
          <a:pPr algn="ctr"/>
          <a:endParaRPr lang="es-ES"/>
        </a:p>
      </dgm:t>
    </dgm:pt>
    <dgm:pt modelId="{5A476EB2-757B-4E45-AF4C-C1A6590CBF5C}" type="sibTrans" cxnId="{978539F8-077A-4A0D-AAF2-189C45BCCFEE}">
      <dgm:prSet/>
      <dgm:spPr/>
      <dgm:t>
        <a:bodyPr/>
        <a:lstStyle/>
        <a:p>
          <a:pPr algn="ctr"/>
          <a:endParaRPr lang="es-ES"/>
        </a:p>
      </dgm:t>
    </dgm:pt>
    <dgm:pt modelId="{E30401FB-3668-4A55-9939-518D12E4EEA1}" type="pres">
      <dgm:prSet presAssocID="{6ED2382D-20BA-4AC7-AF4B-DD3185E983E3}" presName="compositeShape" presStyleCnt="0">
        <dgm:presLayoutVars>
          <dgm:chMax val="7"/>
          <dgm:dir/>
          <dgm:resizeHandles val="exact"/>
        </dgm:presLayoutVars>
      </dgm:prSet>
      <dgm:spPr/>
    </dgm:pt>
    <dgm:pt modelId="{72319BC7-E76A-4B0F-9A74-F936AD88F404}" type="pres">
      <dgm:prSet presAssocID="{A0D1AC83-CAB8-4E62-A42B-2A5216B882C1}" presName="circ1" presStyleLbl="vennNode1" presStyleIdx="0" presStyleCnt="3"/>
      <dgm:spPr/>
    </dgm:pt>
    <dgm:pt modelId="{3C2C46F5-D03B-496F-96DD-49E722D34178}" type="pres">
      <dgm:prSet presAssocID="{A0D1AC83-CAB8-4E62-A42B-2A5216B882C1}" presName="circ1Tx" presStyleLbl="revTx" presStyleIdx="0" presStyleCnt="0">
        <dgm:presLayoutVars>
          <dgm:chMax val="0"/>
          <dgm:chPref val="0"/>
          <dgm:bulletEnabled val="1"/>
        </dgm:presLayoutVars>
      </dgm:prSet>
      <dgm:spPr/>
    </dgm:pt>
    <dgm:pt modelId="{80B7EACF-4D9F-4627-BC86-99F67F3511B7}" type="pres">
      <dgm:prSet presAssocID="{BBE37A26-4698-4450-B5E3-ADB6543B2A5E}" presName="circ2" presStyleLbl="vennNode1" presStyleIdx="1" presStyleCnt="3"/>
      <dgm:spPr/>
    </dgm:pt>
    <dgm:pt modelId="{65A62D59-87EC-4589-903F-C3B1D463A735}" type="pres">
      <dgm:prSet presAssocID="{BBE37A26-4698-4450-B5E3-ADB6543B2A5E}" presName="circ2Tx" presStyleLbl="revTx" presStyleIdx="0" presStyleCnt="0">
        <dgm:presLayoutVars>
          <dgm:chMax val="0"/>
          <dgm:chPref val="0"/>
          <dgm:bulletEnabled val="1"/>
        </dgm:presLayoutVars>
      </dgm:prSet>
      <dgm:spPr/>
    </dgm:pt>
    <dgm:pt modelId="{2DE210FE-0B72-470C-B409-DD04A06FF223}" type="pres">
      <dgm:prSet presAssocID="{E975A5C7-B42C-4038-9CA9-6B8D6C482587}" presName="circ3" presStyleLbl="vennNode1" presStyleIdx="2" presStyleCnt="3"/>
      <dgm:spPr/>
    </dgm:pt>
    <dgm:pt modelId="{9CA58177-880A-4027-8A67-30817C97BD57}" type="pres">
      <dgm:prSet presAssocID="{E975A5C7-B42C-4038-9CA9-6B8D6C482587}" presName="circ3Tx" presStyleLbl="revTx" presStyleIdx="0" presStyleCnt="0">
        <dgm:presLayoutVars>
          <dgm:chMax val="0"/>
          <dgm:chPref val="0"/>
          <dgm:bulletEnabled val="1"/>
        </dgm:presLayoutVars>
      </dgm:prSet>
      <dgm:spPr/>
    </dgm:pt>
  </dgm:ptLst>
  <dgm:cxnLst>
    <dgm:cxn modelId="{B928001B-E12A-4EF6-B1F5-85C0CA215831}" type="presOf" srcId="{A0D1AC83-CAB8-4E62-A42B-2A5216B882C1}" destId="{3C2C46F5-D03B-496F-96DD-49E722D34178}" srcOrd="1" destOrd="0" presId="urn:microsoft.com/office/officeart/2005/8/layout/venn1"/>
    <dgm:cxn modelId="{F4EE9D20-8F57-4A8E-ACC7-0C8F0A6D5210}" type="presOf" srcId="{E975A5C7-B42C-4038-9CA9-6B8D6C482587}" destId="{9CA58177-880A-4027-8A67-30817C97BD57}" srcOrd="1" destOrd="0" presId="urn:microsoft.com/office/officeart/2005/8/layout/venn1"/>
    <dgm:cxn modelId="{8F4A0E40-DB18-4ABB-B2B8-A05757B87155}" srcId="{6ED2382D-20BA-4AC7-AF4B-DD3185E983E3}" destId="{A0D1AC83-CAB8-4E62-A42B-2A5216B882C1}" srcOrd="0" destOrd="0" parTransId="{6F91A724-794C-44E9-B454-33290D5F4647}" sibTransId="{95074552-5254-4B77-AAFF-92972ED067BD}"/>
    <dgm:cxn modelId="{AADC5348-9210-4999-B5E6-82BDBEC3ACC0}" type="presOf" srcId="{6ED2382D-20BA-4AC7-AF4B-DD3185E983E3}" destId="{E30401FB-3668-4A55-9939-518D12E4EEA1}" srcOrd="0" destOrd="0" presId="urn:microsoft.com/office/officeart/2005/8/layout/venn1"/>
    <dgm:cxn modelId="{1F0BC348-9D26-440F-92C0-521783030B97}" type="presOf" srcId="{E975A5C7-B42C-4038-9CA9-6B8D6C482587}" destId="{2DE210FE-0B72-470C-B409-DD04A06FF223}" srcOrd="0" destOrd="0" presId="urn:microsoft.com/office/officeart/2005/8/layout/venn1"/>
    <dgm:cxn modelId="{A0AAB558-07E6-4ABA-BE69-95CC4FC1FE6D}" type="presOf" srcId="{A0D1AC83-CAB8-4E62-A42B-2A5216B882C1}" destId="{72319BC7-E76A-4B0F-9A74-F936AD88F404}" srcOrd="0" destOrd="0" presId="urn:microsoft.com/office/officeart/2005/8/layout/venn1"/>
    <dgm:cxn modelId="{CBB22A84-A98C-4EF8-87A6-6A64B275EACA}" type="presOf" srcId="{BBE37A26-4698-4450-B5E3-ADB6543B2A5E}" destId="{80B7EACF-4D9F-4627-BC86-99F67F3511B7}" srcOrd="0" destOrd="0" presId="urn:microsoft.com/office/officeart/2005/8/layout/venn1"/>
    <dgm:cxn modelId="{4D5D179F-B2CA-4A73-8CDD-DE150DB59890}" type="presOf" srcId="{BBE37A26-4698-4450-B5E3-ADB6543B2A5E}" destId="{65A62D59-87EC-4589-903F-C3B1D463A735}" srcOrd="1" destOrd="0" presId="urn:microsoft.com/office/officeart/2005/8/layout/venn1"/>
    <dgm:cxn modelId="{8FAF17BC-E910-413C-AA5E-CD234EA1AA98}" srcId="{6ED2382D-20BA-4AC7-AF4B-DD3185E983E3}" destId="{BBE37A26-4698-4450-B5E3-ADB6543B2A5E}" srcOrd="1" destOrd="0" parTransId="{980FE90B-ED5E-47F6-B341-1565A707FCB0}" sibTransId="{F10CC286-3887-40FB-9068-F85084772DB2}"/>
    <dgm:cxn modelId="{978539F8-077A-4A0D-AAF2-189C45BCCFEE}" srcId="{6ED2382D-20BA-4AC7-AF4B-DD3185E983E3}" destId="{E975A5C7-B42C-4038-9CA9-6B8D6C482587}" srcOrd="2" destOrd="0" parTransId="{6192C540-2AF5-49C3-99DE-0A4C64DF6018}" sibTransId="{5A476EB2-757B-4E45-AF4C-C1A6590CBF5C}"/>
    <dgm:cxn modelId="{B6E2AA8A-F877-49EF-94C0-66619BA448B8}" type="presParOf" srcId="{E30401FB-3668-4A55-9939-518D12E4EEA1}" destId="{72319BC7-E76A-4B0F-9A74-F936AD88F404}" srcOrd="0" destOrd="0" presId="urn:microsoft.com/office/officeart/2005/8/layout/venn1"/>
    <dgm:cxn modelId="{39645BD9-DAE7-40FE-98DF-EDB889965AC8}" type="presParOf" srcId="{E30401FB-3668-4A55-9939-518D12E4EEA1}" destId="{3C2C46F5-D03B-496F-96DD-49E722D34178}" srcOrd="1" destOrd="0" presId="urn:microsoft.com/office/officeart/2005/8/layout/venn1"/>
    <dgm:cxn modelId="{98E5167A-15B9-46EE-9238-DF84BACE3552}" type="presParOf" srcId="{E30401FB-3668-4A55-9939-518D12E4EEA1}" destId="{80B7EACF-4D9F-4627-BC86-99F67F3511B7}" srcOrd="2" destOrd="0" presId="urn:microsoft.com/office/officeart/2005/8/layout/venn1"/>
    <dgm:cxn modelId="{15B562DC-25A6-4511-AB7F-79E1F2A96C8C}" type="presParOf" srcId="{E30401FB-3668-4A55-9939-518D12E4EEA1}" destId="{65A62D59-87EC-4589-903F-C3B1D463A735}" srcOrd="3" destOrd="0" presId="urn:microsoft.com/office/officeart/2005/8/layout/venn1"/>
    <dgm:cxn modelId="{6A6252C4-6BDC-49C8-A207-384FC514415F}" type="presParOf" srcId="{E30401FB-3668-4A55-9939-518D12E4EEA1}" destId="{2DE210FE-0B72-470C-B409-DD04A06FF223}" srcOrd="4" destOrd="0" presId="urn:microsoft.com/office/officeart/2005/8/layout/venn1"/>
    <dgm:cxn modelId="{F77FE9D7-DDD9-4E66-B0C5-73306573EFDF}" type="presParOf" srcId="{E30401FB-3668-4A55-9939-518D12E4EEA1}" destId="{9CA58177-880A-4027-8A67-30817C97BD57}" srcOrd="5" destOrd="0" presId="urn:microsoft.com/office/officeart/2005/8/layout/venn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319BC7-E76A-4B0F-9A74-F936AD88F404}">
      <dsp:nvSpPr>
        <dsp:cNvPr id="0" name=""/>
        <dsp:cNvSpPr/>
      </dsp:nvSpPr>
      <dsp:spPr>
        <a:xfrm>
          <a:off x="957262" y="22026"/>
          <a:ext cx="1057275" cy="1057275"/>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s-ES" sz="1300" kern="1200"/>
            <a:t>Legislación</a:t>
          </a:r>
        </a:p>
      </dsp:txBody>
      <dsp:txXfrm>
        <a:off x="1098232" y="207049"/>
        <a:ext cx="775335" cy="475773"/>
      </dsp:txXfrm>
    </dsp:sp>
    <dsp:sp modelId="{80B7EACF-4D9F-4627-BC86-99F67F3511B7}">
      <dsp:nvSpPr>
        <dsp:cNvPr id="0" name=""/>
        <dsp:cNvSpPr/>
      </dsp:nvSpPr>
      <dsp:spPr>
        <a:xfrm>
          <a:off x="1338762" y="682823"/>
          <a:ext cx="1057275" cy="1057275"/>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s-ES" sz="1300" kern="1200"/>
            <a:t>Atención Usuaria</a:t>
          </a:r>
        </a:p>
      </dsp:txBody>
      <dsp:txXfrm>
        <a:off x="1662112" y="955952"/>
        <a:ext cx="634365" cy="581501"/>
      </dsp:txXfrm>
    </dsp:sp>
    <dsp:sp modelId="{2DE210FE-0B72-470C-B409-DD04A06FF223}">
      <dsp:nvSpPr>
        <dsp:cNvPr id="0" name=""/>
        <dsp:cNvSpPr/>
      </dsp:nvSpPr>
      <dsp:spPr>
        <a:xfrm>
          <a:off x="575762" y="682823"/>
          <a:ext cx="1057275" cy="1057275"/>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s-ES" sz="1300" kern="1200"/>
            <a:t>Pericia</a:t>
          </a:r>
        </a:p>
      </dsp:txBody>
      <dsp:txXfrm>
        <a:off x="675322" y="955952"/>
        <a:ext cx="634365" cy="581501"/>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0.25066</cdr:x>
      <cdr:y>0.0565</cdr:y>
    </cdr:from>
    <cdr:to>
      <cdr:x>0.79607</cdr:x>
      <cdr:y>0.24617</cdr:y>
    </cdr:to>
    <cdr:sp macro="" textlink="">
      <cdr:nvSpPr>
        <cdr:cNvPr id="2" name="Cuadro de texto 1"/>
        <cdr:cNvSpPr txBox="1"/>
      </cdr:nvSpPr>
      <cdr:spPr>
        <a:xfrm xmlns:a="http://schemas.openxmlformats.org/drawingml/2006/main">
          <a:off x="1028700" y="133350"/>
          <a:ext cx="2238375" cy="4476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s-CR" sz="1100"/>
        </a:p>
      </cdr:txBody>
    </cdr:sp>
  </cdr:relSizeAnchor>
  <cdr:relSizeAnchor xmlns:cdr="http://schemas.openxmlformats.org/drawingml/2006/chartDrawing">
    <cdr:from>
      <cdr:x>0.31564</cdr:x>
      <cdr:y>0.07264</cdr:y>
    </cdr:from>
    <cdr:to>
      <cdr:x>0.76358</cdr:x>
      <cdr:y>0.24213</cdr:y>
    </cdr:to>
    <cdr:sp macro="" textlink="">
      <cdr:nvSpPr>
        <cdr:cNvPr id="3" name="Cuadro de texto 2"/>
        <cdr:cNvSpPr txBox="1"/>
      </cdr:nvSpPr>
      <cdr:spPr>
        <a:xfrm xmlns:a="http://schemas.openxmlformats.org/drawingml/2006/main">
          <a:off x="1295400" y="171450"/>
          <a:ext cx="1838325" cy="4000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s-CR" sz="1100"/>
        </a:p>
      </cdr:txBody>
    </cdr:sp>
  </cdr:relSizeAnchor>
  <cdr:relSizeAnchor xmlns:cdr="http://schemas.openxmlformats.org/drawingml/2006/chartDrawing">
    <cdr:from>
      <cdr:x>0.27387</cdr:x>
      <cdr:y>0.08475</cdr:y>
    </cdr:from>
    <cdr:to>
      <cdr:x>0.75429</cdr:x>
      <cdr:y>0.22599</cdr:y>
    </cdr:to>
    <cdr:sp macro="" textlink="">
      <cdr:nvSpPr>
        <cdr:cNvPr id="4" name="Cuadro de texto 3"/>
        <cdr:cNvSpPr txBox="1"/>
      </cdr:nvSpPr>
      <cdr:spPr>
        <a:xfrm xmlns:a="http://schemas.openxmlformats.org/drawingml/2006/main">
          <a:off x="1123950" y="200025"/>
          <a:ext cx="1971675" cy="3333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s-CR" sz="1100"/>
        </a:p>
      </cdr:txBody>
    </cdr:sp>
  </cdr:relSizeAnchor>
  <cdr:relSizeAnchor xmlns:cdr="http://schemas.openxmlformats.org/drawingml/2006/chartDrawing">
    <cdr:from>
      <cdr:x>0.3667</cdr:x>
      <cdr:y>0</cdr:y>
    </cdr:from>
    <cdr:to>
      <cdr:x>0.71252</cdr:x>
      <cdr:y>0.45056</cdr:y>
    </cdr:to>
    <cdr:sp macro="" textlink="">
      <cdr:nvSpPr>
        <cdr:cNvPr id="5" name="Cuadro de texto 4"/>
        <cdr:cNvSpPr txBox="1"/>
      </cdr:nvSpPr>
      <cdr:spPr>
        <a:xfrm xmlns:a="http://schemas.openxmlformats.org/drawingml/2006/main">
          <a:off x="1504950" y="0"/>
          <a:ext cx="1419225" cy="10763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s-CR" sz="1100"/>
            <a:t>Estado Civil de las mujeres víctimas de violencia intrafamiliar para el período del 2018-2019</a:t>
          </a: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A013F-72F8-4822-826D-AF2AF882B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106</Pages>
  <Words>30060</Words>
  <Characters>165330</Characters>
  <Application>Microsoft Office Word</Application>
  <DocSecurity>0</DocSecurity>
  <Lines>1377</Lines>
  <Paragraphs>389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Yamileth García</dc:creator>
  <cp:lastModifiedBy>MC LAREN HARRIS STEPHANIE</cp:lastModifiedBy>
  <cp:revision>2</cp:revision>
  <cp:lastPrinted>2021-02-08T03:25:00Z</cp:lastPrinted>
  <dcterms:created xsi:type="dcterms:W3CDTF">2021-02-16T18:49:00Z</dcterms:created>
  <dcterms:modified xsi:type="dcterms:W3CDTF">2021-02-16T18:49:00Z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HP</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