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1BE50" w14:textId="77777777" w:rsidR="00C76BED" w:rsidRPr="00C76BED" w:rsidRDefault="00C76BED" w:rsidP="00C76BED">
      <w:pPr>
        <w:spacing w:after="144"/>
        <w:ind w:left="56" w:right="-43"/>
        <w:rPr>
          <w:rFonts w:ascii="Arial" w:eastAsia="Arial" w:hAnsi="Arial" w:cs="Arial"/>
          <w:color w:val="000000"/>
          <w:sz w:val="20"/>
          <w:lang w:eastAsia="es-CR"/>
        </w:rPr>
      </w:pPr>
      <w:r w:rsidRPr="00C76BED">
        <w:rPr>
          <w:rFonts w:ascii="Calibri" w:eastAsia="Calibri" w:hAnsi="Calibri" w:cs="Calibri"/>
          <w:noProof/>
          <w:color w:val="000000"/>
          <w:lang w:eastAsia="es-CR"/>
        </w:rPr>
        <mc:AlternateContent>
          <mc:Choice Requires="wpg">
            <w:drawing>
              <wp:inline distT="0" distB="0" distL="0" distR="0" wp14:anchorId="441F7199" wp14:editId="0555E283">
                <wp:extent cx="5388001" cy="629863"/>
                <wp:effectExtent l="0" t="0" r="0" b="0"/>
                <wp:docPr id="132055" name="Group 132055"/>
                <wp:cNvGraphicFramePr/>
                <a:graphic xmlns:a="http://schemas.openxmlformats.org/drawingml/2006/main">
                  <a:graphicData uri="http://schemas.microsoft.com/office/word/2010/wordprocessingGroup">
                    <wpg:wgp>
                      <wpg:cNvGrpSpPr/>
                      <wpg:grpSpPr>
                        <a:xfrm>
                          <a:off x="0" y="0"/>
                          <a:ext cx="5388001" cy="629863"/>
                          <a:chOff x="0" y="0"/>
                          <a:chExt cx="5388001" cy="629863"/>
                        </a:xfrm>
                      </wpg:grpSpPr>
                      <wps:wsp>
                        <wps:cNvPr id="4853" name="Shape 4853"/>
                        <wps:cNvSpPr/>
                        <wps:spPr>
                          <a:xfrm>
                            <a:off x="0" y="530591"/>
                            <a:ext cx="5388001" cy="0"/>
                          </a:xfrm>
                          <a:custGeom>
                            <a:avLst/>
                            <a:gdLst/>
                            <a:ahLst/>
                            <a:cxnLst/>
                            <a:rect l="0" t="0" r="0" b="0"/>
                            <a:pathLst>
                              <a:path w="5388001">
                                <a:moveTo>
                                  <a:pt x="0" y="0"/>
                                </a:moveTo>
                                <a:lnTo>
                                  <a:pt x="5388001" y="0"/>
                                </a:lnTo>
                              </a:path>
                            </a:pathLst>
                          </a:custGeom>
                          <a:noFill/>
                          <a:ln w="31750" cap="flat" cmpd="sng" algn="ctr">
                            <a:solidFill>
                              <a:srgbClr val="000000"/>
                            </a:solidFill>
                            <a:prstDash val="solid"/>
                            <a:miter lim="100000"/>
                          </a:ln>
                          <a:effectLst/>
                        </wps:spPr>
                        <wps:bodyPr/>
                      </wps:wsp>
                      <wps:wsp>
                        <wps:cNvPr id="4854" name="Shape 4854"/>
                        <wps:cNvSpPr/>
                        <wps:spPr>
                          <a:xfrm>
                            <a:off x="0" y="572913"/>
                            <a:ext cx="5388001" cy="0"/>
                          </a:xfrm>
                          <a:custGeom>
                            <a:avLst/>
                            <a:gdLst/>
                            <a:ahLst/>
                            <a:cxnLst/>
                            <a:rect l="0" t="0" r="0" b="0"/>
                            <a:pathLst>
                              <a:path w="5388001">
                                <a:moveTo>
                                  <a:pt x="0" y="0"/>
                                </a:moveTo>
                                <a:lnTo>
                                  <a:pt x="5388001" y="0"/>
                                </a:lnTo>
                              </a:path>
                            </a:pathLst>
                          </a:custGeom>
                          <a:noFill/>
                          <a:ln w="10605" cap="flat" cmpd="sng" algn="ctr">
                            <a:solidFill>
                              <a:srgbClr val="000000"/>
                            </a:solidFill>
                            <a:prstDash val="solid"/>
                            <a:miter lim="100000"/>
                          </a:ln>
                          <a:effectLst/>
                        </wps:spPr>
                        <wps:bodyPr/>
                      </wps:wsp>
                      <wps:wsp>
                        <wps:cNvPr id="152617" name="Shape 152617"/>
                        <wps:cNvSpPr/>
                        <wps:spPr>
                          <a:xfrm>
                            <a:off x="1346995" y="463062"/>
                            <a:ext cx="2694000" cy="166801"/>
                          </a:xfrm>
                          <a:custGeom>
                            <a:avLst/>
                            <a:gdLst/>
                            <a:ahLst/>
                            <a:cxnLst/>
                            <a:rect l="0" t="0" r="0" b="0"/>
                            <a:pathLst>
                              <a:path w="2694000" h="166801">
                                <a:moveTo>
                                  <a:pt x="0" y="0"/>
                                </a:moveTo>
                                <a:lnTo>
                                  <a:pt x="2694000" y="0"/>
                                </a:lnTo>
                                <a:lnTo>
                                  <a:pt x="2694000" y="166801"/>
                                </a:lnTo>
                                <a:lnTo>
                                  <a:pt x="0" y="166801"/>
                                </a:lnTo>
                                <a:lnTo>
                                  <a:pt x="0" y="0"/>
                                </a:lnTo>
                              </a:path>
                            </a:pathLst>
                          </a:custGeom>
                          <a:solidFill>
                            <a:srgbClr val="FFFFFF"/>
                          </a:solidFill>
                          <a:ln w="0" cap="flat">
                            <a:noFill/>
                            <a:miter lim="100000"/>
                          </a:ln>
                          <a:effectLst/>
                        </wps:spPr>
                        <wps:bodyPr/>
                      </wps:wsp>
                      <wps:wsp>
                        <wps:cNvPr id="4856" name="Rectangle 4856"/>
                        <wps:cNvSpPr/>
                        <wps:spPr>
                          <a:xfrm>
                            <a:off x="1445072" y="504858"/>
                            <a:ext cx="3321768" cy="142889"/>
                          </a:xfrm>
                          <a:prstGeom prst="rect">
                            <a:avLst/>
                          </a:prstGeom>
                          <a:ln>
                            <a:noFill/>
                          </a:ln>
                        </wps:spPr>
                        <wps:txbx>
                          <w:txbxContent>
                            <w:p w14:paraId="13AC5BC1" w14:textId="77777777" w:rsidR="00C76BED" w:rsidRDefault="00C76BED" w:rsidP="00C76BED">
                              <w:r>
                                <w:rPr>
                                  <w:sz w:val="18"/>
                                </w:rPr>
                                <w:t xml:space="preserve">Revista Escuela Judicial - </w:t>
                              </w:r>
                              <w:proofErr w:type="spellStart"/>
                              <w:r>
                                <w:rPr>
                                  <w:sz w:val="18"/>
                                </w:rPr>
                                <w:t>N°</w:t>
                              </w:r>
                              <w:proofErr w:type="spellEnd"/>
                              <w:r>
                                <w:rPr>
                                  <w:sz w:val="18"/>
                                </w:rPr>
                                <w:t xml:space="preserve"> 6 - </w:t>
                              </w:r>
                              <w:proofErr w:type="gramStart"/>
                              <w:r>
                                <w:rPr>
                                  <w:sz w:val="18"/>
                                </w:rPr>
                                <w:t>Noviembre</w:t>
                              </w:r>
                              <w:proofErr w:type="gramEnd"/>
                              <w:r>
                                <w:rPr>
                                  <w:sz w:val="18"/>
                                </w:rPr>
                                <w:t xml:space="preserve"> 2008</w:t>
                              </w:r>
                            </w:p>
                          </w:txbxContent>
                        </wps:txbx>
                        <wps:bodyPr horzOverflow="overflow" vert="horz" lIns="0" tIns="0" rIns="0" bIns="0" rtlCol="0">
                          <a:noAutofit/>
                        </wps:bodyPr>
                      </wps:wsp>
                      <pic:pic xmlns:pic="http://schemas.openxmlformats.org/drawingml/2006/picture">
                        <pic:nvPicPr>
                          <pic:cNvPr id="4858" name="Picture 4858"/>
                          <pic:cNvPicPr/>
                        </pic:nvPicPr>
                        <pic:blipFill>
                          <a:blip r:embed="rId5"/>
                          <a:stretch>
                            <a:fillRect/>
                          </a:stretch>
                        </pic:blipFill>
                        <pic:spPr>
                          <a:xfrm>
                            <a:off x="2520149" y="0"/>
                            <a:ext cx="347703" cy="441845"/>
                          </a:xfrm>
                          <a:prstGeom prst="rect">
                            <a:avLst/>
                          </a:prstGeom>
                        </pic:spPr>
                      </pic:pic>
                    </wpg:wgp>
                  </a:graphicData>
                </a:graphic>
              </wp:inline>
            </w:drawing>
          </mc:Choice>
          <mc:Fallback>
            <w:pict>
              <v:group w14:anchorId="441F7199" id="Group 132055" o:spid="_x0000_s1026" style="width:424.25pt;height:49.6pt;mso-position-horizontal-relative:char;mso-position-vertical-relative:line" coordsize="53880,62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KMNe2RwQAAPgOAAAOAAAAZHJzL2Uyb0RvYy54bWzsV+tu2zYU/j9g&#10;7yDof2PdLQtxiqFZggLDGrTdA9AUdcEoUSDpS/b0O4cUZctOszRFCwyoAduH5CF5+J379dtDx70d&#10;k6oV/doPrwLfYz0VZdvXa/+vz3dvct9TmvQl4aJna/+RKf/tza+/XO+HgkWiEbxk0oNDelXsh7Xf&#10;aD0Ui4WiDeuIuhID62GxErIjGoayXpSS7OH0ji+iIMgWeyHLQQrKlILZW7vo35jzq4pR/aGqFNMe&#10;X/sgmza/0vxu8Hdxc02KWpKhaekoBnmFFB1pe7h0OuqWaOJtZXtxVNdSKZSo9BUV3UJUVUuZeQO8&#10;JgzOXnMvxXYwb6mLfT1MMAG0Zzi9+lj65+5Bem0JuoujIE19rycd6Mlc7Y1zANJ+qAvgvZfDp+FB&#10;jhO1HeG7D5Xs8B9e5B0MvI8TvOygPQqTaZznQRD6HoW1LFrlWWzxpw0o6WIbbX5/fuPCXbtA6SZh&#10;9gOYkjqipb4NrU8NGZhRgkIERrSSPI0dVobDMzMGGMM3waQKBYh9EaM0DtJVaHF4Eihjo9NTSUG3&#10;St8zYdAmuz+UtiZcOoo0jqKH3pESHOFZFxiIxn0oJpLe/qgunOvEjn0WZlWfKQpEO67y/pRrUriz&#10;BeC1HEDgNTfXI2GuBvr0cb24azk3r+M9ChSHyxR8mBKIExUnGshuAMtVfe17hNcQgKiWxg2V4G2J&#10;21FkJevNOy69HcEgYD6IN1w3Yxuk0rdENZbPLFm1dK2GGMXbDpzkdDfv8XRmoowFGgzRqRupjSgf&#10;jbOYebBJ9KMfY5zJhXEm+Bi8Hoz4xca5jFbh6KQ/jfNZ4wyDLIDo+dM4j8n46cgZplEWLufmOc59&#10;jYGGcZKtVoA4xJYki4MsmsfQKFsl4Kw22YRZlkPisU7vUtWpOr9rIJ1EaSCAWEleH1Onwy5iqout&#10;EFpNjD7lnAHggrT7t+wAFRz5YkaXll4ez2fBdhaT78xnVM+MzQb+WdBH6E5Sw/8xOGfO+j9CWiZ9&#10;zRlWD9lXBegwSdJgGRmlpQFsz+f2H8dRuMyg+sZiK0yiPF+d2T/mOywkPCTWPpYIJnc6X8DUPLIg&#10;5jbbTcjDKs6cZTx92BxGL7bJz2uE/OcDNAgVF5DCoYwwlI89A1yKq77H3/dQpIGWtSOkIzaOkJq/&#10;E6aItwbw21aLqsXix4hgbxsHJtMOLS3gOxbNQF2Ugf/dXMAuvZXMHw/pXnRGR+Tf2+EN1PdQ4rSb&#10;lrf60fQqgC4K1e8eWooVIQ5mFSVoy1bfwID3olUYtTpO3IcvxvHsmA1vB1fuID0KDI3OWaPwxJtt&#10;E3Ir6LZjvbZdlWRQX0FLp5p2UL4nC9ZtGJRa8n051qpKS6YpVHCkqKDOQku24XVaMFIeBUOZv1AJ&#10;Ryk0P8nK2PLYkrlqI06WywAqbbTiJAnzJP0WKzYiWSEMCTIZkzHtFVCz/u10bLiODevNvwAAAP//&#10;AwBQSwMECgAAAAAAAAAhAMmQ2TiRCQAAkQkAABQAAABkcnMvbWVkaWEvaW1hZ2UxLmpwZ//Y/+AA&#10;EEpGSUYAAQEBAGAAYAAA/9sAQwADAgIDAgIDAwMDBAMDBAUIBQUEBAUKBwcGCAwKDAwLCgsLDQ4S&#10;EA0OEQ4LCxAWEBETFBUVFQwPFxgWFBgSFBUU/9sAQwEDBAQFBAUJBQUJFA0LDRQUFBQUFBQUFBQU&#10;FBQUFBQUFBQUFBQUFBQUFBQUFBQUFBQUFBQUFBQUFBQUFBQUFBQU/8AAEQgASQA6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OiiigArLuf&#10;FGjWd0ba41exguAcGGS5RXz6YJzXjfxa+JupaprUfhnw0slzLJdGyWC1fbJe3Cjc6b8jZCgB8xsj&#10;gH2WRNO/Z38RNpEMd54wtbK5SMotrZaRHJbpkudrM58yXG8jdlMgLwuKAPeFYMoZSCCMgjvS184+&#10;HfEWvfBnxMmha1CoV1aZIbQk2d/bggNLbBuY5kLDdETzuQDeXDj6JtbqG+tYbm3kWaCZFkjkQ5Vl&#10;IyCD6EUAS0UUUAFY3jLWm8O+E9Y1NCFktbWSVC3QMFO3PtnFbNeTftKfFCf4W+ARcRJcQDVXn0z+&#10;1oJET+y5Gs7h4bgmTCAebHGmXKqDICTgUAZHw+uvDWj6x4t8YTajpsWjaGkHh201WWZVhwkcclxM&#10;8v3cvNIqMx/54L6Vx+iftfX32NLnVvDV/LFYWF8NZuNJsJJoIr6OWMQxwuCweMoZdzgkKVG4jmsT&#10;4WaT4/039nO/s31O30/XNNvrqLWbG3sv7Ze+jlhjkiSNsfvJWjki+baysXbqMGvL/Cvi228M+E83&#10;WqeE9KOhRQ2sfhK4Mo1Kxa2ViyQyrHKszyAks8YK4lbBTGQAfSN940b4gfBG28XG50q68X+EvJ1q&#10;6TSZxLFbzxLvng3AttL25kQpklfM56A16R8MdUsb7TdTtdMu7e906xvnjtZrWQSRmJ1WZFDDjCiX&#10;bjsFFeBfCuwv3+CvjPxjrs+uaTfTaPqMlzosjRDR2WVGlSS1WMbWAHGc7gWZWHSrf7IfjjxRpOqX&#10;vww8WR/2hr+nG+1DULu1vUurXTv3lusNqjLyA5lnkVJNroFIK4waAPqSiiigAr42/wCCkVvrsvhn&#10;wTceFfE66H4ltb64a00u8me3tdbBhO61EuPL+0DarxxyEbyrbfmAr7JrhvjV8JvD3xs+G+r+E/E2&#10;lLrGn3SeYkHnmB1mT5onSUAmNgwGGAOOcgjIIB4j+zTqGqfDX4d+A73xaLq3ttX0ay0TWrjUIjC9&#10;nqlsnkQySgnISeLy0EjY3eXATjza9Rs/h34a8G3XhjTLHwpqtzHon2tdOlTZLFidSJvMZn5ypxmT&#10;BOMc18Q/sn6P4n8cfFr4n39hfeM/Dfh+DTrLQda8OeI9Pgvbi8u7bbAwaeUC2cxxRLG7smSkoyAc&#10;NX1XoeveHPDHhvV7ey8WafHoukSMtzLJ4uubldOXgukkkQ2QBV3YQnC4XGBQBv6xoejWNho/wp8O&#10;xt/Y2mmPUdeZ5PMFpZJIZxDI5P37iQY25/1fmngBc/JP7Htn44m/a11G/wDHPia605Gm1m50vwrM&#10;JVv71bi4aU3V1bLlbeGJZSimU/fOxM813Xxs+Fv/AAsv9nXUbfwb4svrfw5bhdevLPw5PFrlvr/l&#10;Nva3+0JtuJJZyV5lLbiqDopr1j9i74e6Hb+DtQ+J0fh3WtJ8UeO5mv7268T3i3WpSwB28kPtRVhU&#10;glhEo+UMuSSOAD6OooooAKralZtqFjNbLcz2ZkXb59swWRPdSQQD+FczrHxX8MeHrrUYNU1H+zjp&#10;/lm4e6heNFEj7EIZgAwLcZXPNeM/GrWEt/Hl1N/wtTUPCNrJpdlqUaRRStb28STOCQAwVmm5+Ujp&#10;FzxQB63D4Dm1vSZdN1krFYBpkhWHZ9oEbZX/AFiqApI5yo3ZOd2RXK+B/wBkX4WfD34YeJ/h/pPh&#10;xj4a8TPI+rw3d3NPLeM6hSWldi+QAMEEYIyOea80lnTUvJjs/jxldPh/tG4tbKS4kklijDGVmJlZ&#10;yhEZbH94sBwVFa9n4sIGs2d78bLO21K60610xrOe1eGXTZI9u6YK0m5LiQSNkN1YxjB24IB6T8O/&#10;2e/C3wg8L6XonhCCW1ttLG21/tGd7wqoZnVC0jFgqszFQCNu704rq/Ceh32nyXV3qE8wupncSW6v&#10;GYG+bKyqFRSGIxnPPrXzHJrlhd3QY/tHxI80aMvlSTCKRRgBCfO2qGBUkriTJfBAXjbh8bReBfGV&#10;jqGofGZtQsJIoLpdHlsLiW3e1kEjROkgkZm3ecwDMWz5CA5MbUAfUtFeb2v7RXw7v76Sys/Etve3&#10;isI0gtkeRpnIYhI8L87/ACMNq5OVIxXaf8JBB/z73v8A4CSf4UAN1fwjoXiC4S41TRdP1KdIzEst&#10;5axysqE5KgsCQCe1V7zwD4Y1Dy/tXhzSbny4xCnnWMT7IwxYIMrwoYk46ZOa3qKAOW8OfC3wf4Rs&#10;3ttI8NaXYxPG8MhjtULyRuSWR2ILMpJPBJFWrb4f+F7KGSK38N6RBFIFDpHYRKrbcbcgLzjauPTa&#10;PSt+igDnF+G/hKNIEXwtoqrAMRKNPhAj7/L8vH4VYk8D+HJoYYZNA0t4oYo4Io2soyqRpu2Io28K&#10;u98AcDccdTW3RQBz1n8O/CmnXNrcWnhjR7W4tW328sOnxI8LHqUIXKn3FdDRRQB//9lQSwMEFAAG&#10;AAgAAAAhAC5CZR3dAAAABAEAAA8AAABkcnMvZG93bnJldi54bWxMj0FrwkAQhe8F/8Myhd7qJraW&#10;mGYjIupJCtVC6W3MjkkwOxuyaxL/fbe9tJeBx3u89022HE0jeupcbVlBPI1AEBdW11wq+DhuHxMQ&#10;ziNrbCyTghs5WOaTuwxTbQd+p/7gSxFK2KWooPK+TaV0RUUG3dS2xME7286gD7Irpe5wCOWmkbMo&#10;epEGaw4LFba0rqi4HK5GwW7AYfUUb/r95by+fR3nb5/7mJR6uB9XryA8jf4vDD/4AR3ywHSyV9ZO&#10;NArCI/73Bi95TuYgTgoWixnIPJP/4fNv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DKMNe2RwQAAPgOAAAOAAAAAAAAAAAAAAAAAD0CAABkcnMvZTJvRG9jLnhtbFBL&#10;AQItAAoAAAAAAAAAIQDJkNk4kQkAAJEJAAAUAAAAAAAAAAAAAAAAALAGAABkcnMvbWVkaWEvaW1h&#10;Z2UxLmpwZ1BLAQItABQABgAIAAAAIQAuQmUd3QAAAAQBAAAPAAAAAAAAAAAAAAAAAHMQAABkcnMv&#10;ZG93bnJldi54bWxQSwECLQAUAAYACAAAACEAN53BGLoAAAAhAQAAGQAAAAAAAAAAAAAAAAB9EQAA&#10;ZHJzL19yZWxzL2Uyb0RvYy54bWwucmVsc1BLBQYAAAAABgAGAHwBAABuEgAAAAA=&#10;">
                <v:shape id="Shape 4853" o:spid="_x0000_s1027" style="position:absolute;top:5305;width:53880;height:0;visibility:visible;mso-wrap-style:square;v-text-anchor:top" coordsize="538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0EyAAAAN0AAAAPAAAAZHJzL2Rvd25yZXYueG1sRI/NawIx&#10;FMTvBf+H8ArealJt1W6NUvoBPXjwEzy+bl53VzcvYZPq1r++KQgeh5n5DTOZtbYWR2pC5VjDfU+B&#10;IM6dqbjQsFl/3I1BhIhssHZMGn4pwGzauZlgZtyJl3RcxUIkCIcMNZQx+kzKkJdkMfScJ07et2ss&#10;xiSbQpoGTwlua9lXaigtVpwWSvT0WlJ+WP1YDcXyS3m7Pz/N1XDh33cjftvOB1p3b9uXZxCR2ngN&#10;X9qfRsPD+HEA/2/SE5DTPwAAAP//AwBQSwECLQAUAAYACAAAACEA2+H2y+4AAACFAQAAEwAAAAAA&#10;AAAAAAAAAAAAAAAAW0NvbnRlbnRfVHlwZXNdLnhtbFBLAQItABQABgAIAAAAIQBa9CxbvwAAABUB&#10;AAALAAAAAAAAAAAAAAAAAB8BAABfcmVscy8ucmVsc1BLAQItABQABgAIAAAAIQAmEi0EyAAAAN0A&#10;AAAPAAAAAAAAAAAAAAAAAAcCAABkcnMvZG93bnJldi54bWxQSwUGAAAAAAMAAwC3AAAA/AIAAAAA&#10;" path="m,l5388001,e" filled="f" strokeweight="2.5pt">
                  <v:stroke miterlimit="1" joinstyle="miter"/>
                  <v:path arrowok="t" textboxrect="0,0,5388001,0"/>
                </v:shape>
                <v:shape id="Shape 4854" o:spid="_x0000_s1028" style="position:absolute;top:5729;width:53880;height:0;visibility:visible;mso-wrap-style:square;v-text-anchor:top" coordsize="53880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QOfxgAAAN0AAAAPAAAAZHJzL2Rvd25yZXYueG1sRI/RasJA&#10;FETfBf9huYW+mU1NWmzqKioUKtKHaD/gkr1NUrN3k+wa0793hUIfh5k5wyzXo2nEQL2rLSt4imIQ&#10;xIXVNZcKvk7vswUI55E1NpZJwS85WK+mkyVm2l45p+HoSxEg7DJUUHnfZlK6oiKDLrItcfC+bW/Q&#10;B9mXUvd4DXDTyHkcv0iDNYeFClvaVVScjxejYOBD97n/GZpEFwlfXk/5/NxtlXp8GDdvIDyN/j/8&#10;1/7QCtLFcwr3N+EJyNUNAAD//wMAUEsBAi0AFAAGAAgAAAAhANvh9svuAAAAhQEAABMAAAAAAAAA&#10;AAAAAAAAAAAAAFtDb250ZW50X1R5cGVzXS54bWxQSwECLQAUAAYACAAAACEAWvQsW78AAAAVAQAA&#10;CwAAAAAAAAAAAAAAAAAfAQAAX3JlbHMvLnJlbHNQSwECLQAUAAYACAAAACEAFHEDn8YAAADdAAAA&#10;DwAAAAAAAAAAAAAAAAAHAgAAZHJzL2Rvd25yZXYueG1sUEsFBgAAAAADAAMAtwAAAPoCAAAAAA==&#10;" path="m,l5388001,e" filled="f" strokeweight=".29458mm">
                  <v:stroke miterlimit="1" joinstyle="miter"/>
                  <v:path arrowok="t" textboxrect="0,0,5388001,0"/>
                </v:shape>
                <v:shape id="Shape 152617" o:spid="_x0000_s1029" style="position:absolute;left:13469;top:4630;width:26940;height:1668;visibility:visible;mso-wrap-style:square;v-text-anchor:top" coordsize="2694000,166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vUUxQAAAN8AAAAPAAAAZHJzL2Rvd25yZXYueG1sRE/LasJA&#10;FN0X+g/DLbgpdaK0qURHEbHgxvrKxt0lc81EM3dCZqrp3zuFgsvDeU9mna3FlVpfOVYw6CcgiAun&#10;Ky4V5IevtxEIH5A11o5JwS95mE2fnyaYaXfjHV33oRQxhH2GCkwITSalLwxZ9H3XEEfu5FqLIcK2&#10;lLrFWwy3tRwmSSotVhwbDDa0MFRc9j9WwbE5rPP8e/O6xNH2sj3n76kzK6V6L918DCJQFx7if/dK&#10;x/kfw3TwCX9/IgA5vQMAAP//AwBQSwECLQAUAAYACAAAACEA2+H2y+4AAACFAQAAEwAAAAAAAAAA&#10;AAAAAAAAAAAAW0NvbnRlbnRfVHlwZXNdLnhtbFBLAQItABQABgAIAAAAIQBa9CxbvwAAABUBAAAL&#10;AAAAAAAAAAAAAAAAAB8BAABfcmVscy8ucmVsc1BLAQItABQABgAIAAAAIQCOJvUUxQAAAN8AAAAP&#10;AAAAAAAAAAAAAAAAAAcCAABkcnMvZG93bnJldi54bWxQSwUGAAAAAAMAAwC3AAAA+QIAAAAA&#10;" path="m,l2694000,r,166801l,166801,,e" stroked="f" strokeweight="0">
                  <v:stroke miterlimit="1" joinstyle="miter"/>
                  <v:path arrowok="t" textboxrect="0,0,2694000,166801"/>
                </v:shape>
                <v:rect id="Rectangle 4856" o:spid="_x0000_s1030" style="position:absolute;left:14450;top:5048;width:33218;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WZ7xwAAAN0AAAAPAAAAZHJzL2Rvd25yZXYueG1sRI9ba8JA&#10;FITfhf6H5RT6ZjYtrcToKtIL+uilkPp2yB6TYPZsyG5N9Ne7guDjMDPfMNN5b2pxotZVlhW8RjEI&#10;4tzqigsFv7ufYQLCeWSNtWVScCYH89nTYIqpth1v6LT1hQgQdikqKL1vUildXpJBF9mGOHgH2xr0&#10;QbaF1C12AW5q+RbHI2mw4rBQYkOfJeXH7b9RsEyaxd/KXrqi/t4vs3U2/tqNvVIvz/1iAsJT7x/h&#10;e3ulFbwnHyO4vQlPQM6uAAAA//8DAFBLAQItABQABgAIAAAAIQDb4fbL7gAAAIUBAAATAAAAAAAA&#10;AAAAAAAAAAAAAABbQ29udGVudF9UeXBlc10ueG1sUEsBAi0AFAAGAAgAAAAhAFr0LFu/AAAAFQEA&#10;AAsAAAAAAAAAAAAAAAAAHwEAAF9yZWxzLy5yZWxzUEsBAi0AFAAGAAgAAAAhAOcdZnvHAAAA3QAA&#10;AA8AAAAAAAAAAAAAAAAABwIAAGRycy9kb3ducmV2LnhtbFBLBQYAAAAAAwADALcAAAD7AgAAAAA=&#10;" filled="f" stroked="f">
                  <v:textbox inset="0,0,0,0">
                    <w:txbxContent>
                      <w:p w14:paraId="13AC5BC1" w14:textId="77777777" w:rsidR="00C76BED" w:rsidRDefault="00C76BED" w:rsidP="00C76BED">
                        <w:r>
                          <w:rPr>
                            <w:sz w:val="18"/>
                          </w:rPr>
                          <w:t xml:space="preserve">Revista Escuela Judicial - </w:t>
                        </w:r>
                        <w:proofErr w:type="spellStart"/>
                        <w:r>
                          <w:rPr>
                            <w:sz w:val="18"/>
                          </w:rPr>
                          <w:t>N°</w:t>
                        </w:r>
                        <w:proofErr w:type="spellEnd"/>
                        <w:r>
                          <w:rPr>
                            <w:sz w:val="18"/>
                          </w:rPr>
                          <w:t xml:space="preserve"> 6 - </w:t>
                        </w:r>
                        <w:proofErr w:type="gramStart"/>
                        <w:r>
                          <w:rPr>
                            <w:sz w:val="18"/>
                          </w:rPr>
                          <w:t>Noviembre</w:t>
                        </w:r>
                        <w:proofErr w:type="gramEnd"/>
                        <w:r>
                          <w:rPr>
                            <w:sz w:val="18"/>
                          </w:rPr>
                          <w:t xml:space="preserve"> 2008</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58" o:spid="_x0000_s1031" type="#_x0000_t75" style="position:absolute;left:25201;width:3477;height:44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hoUxAAAAN0AAAAPAAAAZHJzL2Rvd25yZXYueG1sRE/LasJA&#10;FN0L/sNwBTdSJz5rUkcRQSjdmYaW7i6Z2ySauRMzo6Z/31kILg/nvd52phY3al1lWcFkHIEgzq2u&#10;uFCQfR5eViCcR9ZYWyYFf+Rgu+n31phoe+cj3VJfiBDCLkEFpfdNIqXLSzLoxrYhDtyvbQ36ANtC&#10;6hbvIdzUchpFS2mw4tBQYkP7kvJzejUKltlP3Izi+Px6Ki5f6Uc9u2bTb6WGg273BsJT55/ih/td&#10;K5ivFmFueBOegNz8AwAA//8DAFBLAQItABQABgAIAAAAIQDb4fbL7gAAAIUBAAATAAAAAAAAAAAA&#10;AAAAAAAAAABbQ29udGVudF9UeXBlc10ueG1sUEsBAi0AFAAGAAgAAAAhAFr0LFu/AAAAFQEAAAsA&#10;AAAAAAAAAAAAAAAAHwEAAF9yZWxzLy5yZWxzUEsBAi0AFAAGAAgAAAAhAMzyGhTEAAAA3QAAAA8A&#10;AAAAAAAAAAAAAAAABwIAAGRycy9kb3ducmV2LnhtbFBLBQYAAAAAAwADALcAAAD4AgAAAAA=&#10;">
                  <v:imagedata r:id="rId6" o:title=""/>
                </v:shape>
                <w10:anchorlock/>
              </v:group>
            </w:pict>
          </mc:Fallback>
        </mc:AlternateContent>
      </w:r>
    </w:p>
    <w:p w14:paraId="7B2EC9CB" w14:textId="77777777" w:rsidR="00C76BED" w:rsidRPr="00C76BED" w:rsidRDefault="00C76BED" w:rsidP="00C76BED">
      <w:pPr>
        <w:keepNext/>
        <w:keepLines/>
        <w:spacing w:after="68" w:line="263" w:lineRule="auto"/>
        <w:ind w:left="20" w:right="3" w:hanging="10"/>
        <w:jc w:val="center"/>
        <w:outlineLvl w:val="0"/>
        <w:rPr>
          <w:rFonts w:ascii="Arial" w:eastAsia="Arial" w:hAnsi="Arial" w:cs="Arial"/>
          <w:b/>
          <w:color w:val="000000"/>
          <w:sz w:val="36"/>
          <w:lang w:eastAsia="es-CR"/>
        </w:rPr>
      </w:pPr>
      <w:proofErr w:type="spellStart"/>
      <w:r w:rsidRPr="00C76BED">
        <w:rPr>
          <w:rFonts w:ascii="Arial" w:eastAsia="Arial" w:hAnsi="Arial" w:cs="Arial"/>
          <w:b/>
          <w:color w:val="000000"/>
          <w:sz w:val="36"/>
          <w:lang w:eastAsia="es-CR"/>
        </w:rPr>
        <w:t>DEREChO</w:t>
      </w:r>
      <w:proofErr w:type="spellEnd"/>
      <w:r w:rsidRPr="00C76BED">
        <w:rPr>
          <w:rFonts w:ascii="Arial" w:eastAsia="Arial" w:hAnsi="Arial" w:cs="Arial"/>
          <w:b/>
          <w:color w:val="000000"/>
          <w:sz w:val="36"/>
          <w:lang w:eastAsia="es-CR"/>
        </w:rPr>
        <w:t xml:space="preserve"> DE PROPIEDAD INTELECTUAL </w:t>
      </w:r>
      <w:proofErr w:type="spellStart"/>
      <w:r w:rsidRPr="00C76BED">
        <w:rPr>
          <w:rFonts w:ascii="Arial" w:eastAsia="Arial" w:hAnsi="Arial" w:cs="Arial"/>
          <w:b/>
          <w:color w:val="000000"/>
          <w:sz w:val="36"/>
          <w:lang w:eastAsia="es-CR"/>
        </w:rPr>
        <w:t>INmERSO</w:t>
      </w:r>
      <w:proofErr w:type="spellEnd"/>
      <w:r w:rsidRPr="00C76BED">
        <w:rPr>
          <w:rFonts w:ascii="Arial" w:eastAsia="Arial" w:hAnsi="Arial" w:cs="Arial"/>
          <w:b/>
          <w:color w:val="000000"/>
          <w:sz w:val="36"/>
          <w:lang w:eastAsia="es-CR"/>
        </w:rPr>
        <w:t xml:space="preserve"> EN EL </w:t>
      </w:r>
      <w:proofErr w:type="spellStart"/>
      <w:r w:rsidRPr="00C76BED">
        <w:rPr>
          <w:rFonts w:ascii="Arial" w:eastAsia="Arial" w:hAnsi="Arial" w:cs="Arial"/>
          <w:b/>
          <w:color w:val="000000"/>
          <w:sz w:val="36"/>
          <w:lang w:eastAsia="es-CR"/>
        </w:rPr>
        <w:t>RégImEN</w:t>
      </w:r>
      <w:proofErr w:type="spellEnd"/>
      <w:r w:rsidRPr="00C76BED">
        <w:rPr>
          <w:rFonts w:ascii="Arial" w:eastAsia="Arial" w:hAnsi="Arial" w:cs="Arial"/>
          <w:b/>
          <w:color w:val="000000"/>
          <w:sz w:val="36"/>
          <w:lang w:eastAsia="es-CR"/>
        </w:rPr>
        <w:t xml:space="preserve"> </w:t>
      </w:r>
      <w:proofErr w:type="spellStart"/>
      <w:r w:rsidRPr="00C76BED">
        <w:rPr>
          <w:rFonts w:ascii="Arial" w:eastAsia="Arial" w:hAnsi="Arial" w:cs="Arial"/>
          <w:b/>
          <w:color w:val="000000"/>
          <w:sz w:val="36"/>
          <w:lang w:eastAsia="es-CR"/>
        </w:rPr>
        <w:t>PATRImONIAL</w:t>
      </w:r>
      <w:proofErr w:type="spellEnd"/>
    </w:p>
    <w:p w14:paraId="4D005C91" w14:textId="77777777" w:rsidR="00C76BED" w:rsidRPr="00C76BED" w:rsidRDefault="00C76BED" w:rsidP="00C76BED">
      <w:pPr>
        <w:keepNext/>
        <w:keepLines/>
        <w:spacing w:after="68" w:line="263" w:lineRule="auto"/>
        <w:ind w:left="20" w:right="3" w:hanging="10"/>
        <w:jc w:val="center"/>
        <w:outlineLvl w:val="0"/>
        <w:rPr>
          <w:rFonts w:ascii="Arial" w:eastAsia="Arial" w:hAnsi="Arial" w:cs="Arial"/>
          <w:b/>
          <w:color w:val="000000"/>
          <w:sz w:val="36"/>
          <w:lang w:eastAsia="es-CR"/>
        </w:rPr>
      </w:pPr>
      <w:r w:rsidRPr="00C76BED">
        <w:rPr>
          <w:rFonts w:ascii="Arial" w:eastAsia="Arial" w:hAnsi="Arial" w:cs="Arial"/>
          <w:b/>
          <w:color w:val="000000"/>
          <w:sz w:val="36"/>
          <w:lang w:eastAsia="es-CR"/>
        </w:rPr>
        <w:t xml:space="preserve">DEL </w:t>
      </w:r>
      <w:proofErr w:type="spellStart"/>
      <w:r w:rsidRPr="00C76BED">
        <w:rPr>
          <w:rFonts w:ascii="Arial" w:eastAsia="Arial" w:hAnsi="Arial" w:cs="Arial"/>
          <w:b/>
          <w:color w:val="000000"/>
          <w:sz w:val="36"/>
          <w:lang w:eastAsia="es-CR"/>
        </w:rPr>
        <w:t>mATRImONIO</w:t>
      </w:r>
      <w:proofErr w:type="spellEnd"/>
    </w:p>
    <w:p w14:paraId="21EC0F34" w14:textId="77777777" w:rsidR="00C76BED" w:rsidRPr="00C76BED" w:rsidRDefault="00C76BED" w:rsidP="00C76BED">
      <w:pPr>
        <w:keepNext/>
        <w:keepLines/>
        <w:spacing w:after="3" w:line="261" w:lineRule="auto"/>
        <w:ind w:left="10" w:right="-1" w:hanging="10"/>
        <w:jc w:val="right"/>
        <w:outlineLvl w:val="0"/>
        <w:rPr>
          <w:rFonts w:ascii="Arial" w:eastAsia="Arial" w:hAnsi="Arial" w:cs="Arial"/>
          <w:b/>
          <w:color w:val="000000"/>
          <w:sz w:val="36"/>
          <w:lang w:eastAsia="es-CR"/>
        </w:rPr>
      </w:pPr>
      <w:r w:rsidRPr="00C76BED">
        <w:rPr>
          <w:rFonts w:ascii="Arial" w:eastAsia="Arial" w:hAnsi="Arial" w:cs="Arial"/>
          <w:i/>
          <w:color w:val="000000"/>
          <w:sz w:val="20"/>
          <w:lang w:eastAsia="es-CR"/>
        </w:rPr>
        <w:t>Lic. José Miguel Fonseca Vindas</w:t>
      </w:r>
    </w:p>
    <w:p w14:paraId="78100046" w14:textId="77777777" w:rsidR="00C76BED" w:rsidRPr="00C76BED" w:rsidRDefault="00C76BED" w:rsidP="00C76BED">
      <w:pPr>
        <w:spacing w:after="207" w:line="265" w:lineRule="auto"/>
        <w:ind w:left="9" w:right="6" w:hanging="10"/>
        <w:jc w:val="both"/>
        <w:rPr>
          <w:rFonts w:ascii="Arial" w:eastAsia="Arial" w:hAnsi="Arial" w:cs="Arial"/>
          <w:color w:val="000000"/>
          <w:sz w:val="20"/>
          <w:lang w:eastAsia="es-CR"/>
        </w:rPr>
      </w:pPr>
      <w:proofErr w:type="spellStart"/>
      <w:r w:rsidRPr="00C76BED">
        <w:rPr>
          <w:rFonts w:ascii="Arial" w:eastAsia="Arial" w:hAnsi="Arial" w:cs="Arial"/>
          <w:b/>
          <w:color w:val="000000"/>
          <w:sz w:val="20"/>
          <w:lang w:eastAsia="es-CR"/>
        </w:rPr>
        <w:t>SUmARIO</w:t>
      </w:r>
      <w:proofErr w:type="spellEnd"/>
      <w:r w:rsidRPr="00C76BED">
        <w:rPr>
          <w:rFonts w:ascii="Arial" w:eastAsia="Arial" w:hAnsi="Arial" w:cs="Arial"/>
          <w:b/>
          <w:color w:val="000000"/>
          <w:sz w:val="20"/>
          <w:lang w:eastAsia="es-CR"/>
        </w:rPr>
        <w:t>:</w:t>
      </w:r>
    </w:p>
    <w:p w14:paraId="18E77B16" w14:textId="77777777" w:rsidR="00C76BED" w:rsidRPr="00C76BED" w:rsidRDefault="00C76BED" w:rsidP="00C76BED">
      <w:pPr>
        <w:spacing w:after="206"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1.- INTRODUCCIÓN</w:t>
      </w:r>
    </w:p>
    <w:p w14:paraId="0369C600" w14:textId="77777777" w:rsidR="00C76BED" w:rsidRPr="00C76BED" w:rsidRDefault="00C76BED" w:rsidP="00C76BED">
      <w:pPr>
        <w:spacing w:after="206"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2.- RÉGIMEN PATRIMONIAL CONVENCIONAL Y DE PARTICIPACIÓN</w:t>
      </w:r>
    </w:p>
    <w:p w14:paraId="0BDD9AA9" w14:textId="77777777" w:rsidR="00C76BED" w:rsidRPr="00C76BED" w:rsidRDefault="00C76BED" w:rsidP="00C76BED">
      <w:pPr>
        <w:spacing w:after="206"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3.- CONCEPTO DE GANANCIAL</w:t>
      </w:r>
    </w:p>
    <w:p w14:paraId="4F8302C3" w14:textId="77777777" w:rsidR="00C76BED" w:rsidRPr="00C76BED" w:rsidRDefault="00C76BED" w:rsidP="00C76BED">
      <w:pPr>
        <w:spacing w:after="0"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4.- DERECHO DE AUTOR, CONTENIDO MORA y PATRIMONIAL</w:t>
      </w:r>
    </w:p>
    <w:p w14:paraId="700DC39C" w14:textId="77777777" w:rsidR="00C76BED" w:rsidRPr="00C76BED" w:rsidRDefault="00C76BED" w:rsidP="00C76BED">
      <w:pPr>
        <w:tabs>
          <w:tab w:val="center" w:pos="1297"/>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a.- Derecho de autor</w:t>
      </w:r>
    </w:p>
    <w:p w14:paraId="5B163088" w14:textId="77777777" w:rsidR="00C76BED" w:rsidRPr="00C76BED" w:rsidRDefault="00C76BED" w:rsidP="00C76BED">
      <w:pPr>
        <w:tabs>
          <w:tab w:val="center" w:pos="2203"/>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b.- Contenido moral del derecho de autor</w:t>
      </w:r>
    </w:p>
    <w:p w14:paraId="7D50AACB" w14:textId="77777777" w:rsidR="00C76BED" w:rsidRPr="00C76BED" w:rsidRDefault="00C76BED" w:rsidP="00C76BED">
      <w:pPr>
        <w:tabs>
          <w:tab w:val="center" w:pos="2437"/>
        </w:tabs>
        <w:spacing w:after="212"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c.- Contenido patrimonial del derecho de autor</w:t>
      </w:r>
    </w:p>
    <w:p w14:paraId="1AB52256" w14:textId="77777777" w:rsidR="00C76BED" w:rsidRPr="00C76BED" w:rsidRDefault="00C76BED" w:rsidP="00C76BED">
      <w:pPr>
        <w:spacing w:after="0"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5.- DERECHO COMPARADO</w:t>
      </w:r>
    </w:p>
    <w:p w14:paraId="31F308FF" w14:textId="77777777" w:rsidR="00C76BED" w:rsidRPr="00C76BED" w:rsidRDefault="00C76BED" w:rsidP="00C76BED">
      <w:pPr>
        <w:tabs>
          <w:tab w:val="center" w:pos="2114"/>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a- Clásicos jurisprudenciales franceses</w:t>
      </w:r>
    </w:p>
    <w:p w14:paraId="53ACEA9D" w14:textId="77777777" w:rsidR="00C76BED" w:rsidRPr="00C76BED" w:rsidRDefault="00C76BED" w:rsidP="00C76BED">
      <w:pPr>
        <w:tabs>
          <w:tab w:val="center" w:pos="2125"/>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b.- Caso jurisprudencial en la Argentina</w:t>
      </w:r>
    </w:p>
    <w:p w14:paraId="2BB169EB" w14:textId="77777777" w:rsidR="00C76BED" w:rsidRPr="00C76BED" w:rsidRDefault="00C76BED" w:rsidP="00C76BED">
      <w:pPr>
        <w:tabs>
          <w:tab w:val="center" w:pos="2514"/>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c.- Normativa y criterio jurisdiccional de España;</w:t>
      </w:r>
    </w:p>
    <w:p w14:paraId="503930E4" w14:textId="77777777" w:rsidR="00C76BED" w:rsidRPr="00C76BED" w:rsidRDefault="00C76BED" w:rsidP="00C76BED">
      <w:pPr>
        <w:tabs>
          <w:tab w:val="center" w:pos="1164"/>
        </w:tabs>
        <w:spacing w:after="212"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d.- En Costa Rica</w:t>
      </w:r>
    </w:p>
    <w:p w14:paraId="3D157079" w14:textId="77777777" w:rsidR="00C76BED" w:rsidRPr="00C76BED" w:rsidRDefault="00C76BED" w:rsidP="00C76BED">
      <w:pPr>
        <w:spacing w:after="0"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6.- SOLUCIONES POSIBLES A LA CALIFICACIÓN DE LOS DERECHOS DE AUTOR.</w:t>
      </w:r>
    </w:p>
    <w:p w14:paraId="7A889D08" w14:textId="77777777" w:rsidR="00C76BED" w:rsidRPr="00C76BED" w:rsidRDefault="00C76BED" w:rsidP="00C76BED">
      <w:pPr>
        <w:tabs>
          <w:tab w:val="center" w:pos="1869"/>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EFECTOS Y CONSECUENCIAS;</w:t>
      </w:r>
    </w:p>
    <w:p w14:paraId="65FD3C42" w14:textId="77777777" w:rsidR="00C76BED" w:rsidRPr="00C76BED" w:rsidRDefault="00C76BED" w:rsidP="00C76BED">
      <w:pPr>
        <w:tabs>
          <w:tab w:val="center" w:pos="1747"/>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A.- Derecho de autor es propio</w:t>
      </w:r>
    </w:p>
    <w:p w14:paraId="3EFD8FA9" w14:textId="77777777" w:rsidR="00C76BED" w:rsidRPr="00C76BED" w:rsidRDefault="00C76BED" w:rsidP="00C76BED">
      <w:pPr>
        <w:numPr>
          <w:ilvl w:val="0"/>
          <w:numId w:val="1"/>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Durante la vigencia del matrimonio</w:t>
      </w:r>
    </w:p>
    <w:p w14:paraId="207D1E83" w14:textId="77777777" w:rsidR="00C76BED" w:rsidRPr="00C76BED" w:rsidRDefault="00C76BED" w:rsidP="00C76BED">
      <w:pPr>
        <w:numPr>
          <w:ilvl w:val="0"/>
          <w:numId w:val="1"/>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Al momento de la disolución del matrimonio, por divorcio</w:t>
      </w:r>
    </w:p>
    <w:p w14:paraId="7B085271" w14:textId="77777777" w:rsidR="00C76BED" w:rsidRPr="00C76BED" w:rsidRDefault="00C76BED" w:rsidP="00C76BED">
      <w:pPr>
        <w:numPr>
          <w:ilvl w:val="0"/>
          <w:numId w:val="1"/>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Al momento de la disolución por muerte</w:t>
      </w:r>
    </w:p>
    <w:p w14:paraId="094FA480" w14:textId="77777777" w:rsidR="00C76BED" w:rsidRPr="00C76BED" w:rsidRDefault="00C76BED" w:rsidP="00C76BED">
      <w:pPr>
        <w:tabs>
          <w:tab w:val="center" w:pos="1897"/>
        </w:tabs>
        <w:spacing w:after="0" w:line="266" w:lineRule="auto"/>
        <w:ind w:left="-1"/>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r w:rsidRPr="00C76BED">
        <w:rPr>
          <w:rFonts w:ascii="Arial" w:eastAsia="Arial" w:hAnsi="Arial" w:cs="Arial"/>
          <w:color w:val="000000"/>
          <w:sz w:val="20"/>
          <w:lang w:eastAsia="es-CR"/>
        </w:rPr>
        <w:tab/>
        <w:t>B.- Derecho de autor es ganancial</w:t>
      </w:r>
    </w:p>
    <w:p w14:paraId="4F668842" w14:textId="77777777" w:rsidR="00C76BED" w:rsidRPr="00C76BED" w:rsidRDefault="00C76BED" w:rsidP="00C76BED">
      <w:pPr>
        <w:numPr>
          <w:ilvl w:val="0"/>
          <w:numId w:val="2"/>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Durante la vigencia del matrimonio</w:t>
      </w:r>
    </w:p>
    <w:p w14:paraId="2B8629F0" w14:textId="77777777" w:rsidR="00C76BED" w:rsidRPr="00C76BED" w:rsidRDefault="00C76BED" w:rsidP="00C76BED">
      <w:pPr>
        <w:numPr>
          <w:ilvl w:val="0"/>
          <w:numId w:val="2"/>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 la disolución por divorcio</w:t>
      </w:r>
    </w:p>
    <w:p w14:paraId="5503AD7C" w14:textId="77777777" w:rsidR="00C76BED" w:rsidRPr="00C76BED" w:rsidRDefault="00C76BED" w:rsidP="00C76BED">
      <w:pPr>
        <w:numPr>
          <w:ilvl w:val="0"/>
          <w:numId w:val="2"/>
        </w:numPr>
        <w:spacing w:after="21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Consecuencias</w:t>
      </w:r>
    </w:p>
    <w:p w14:paraId="09234AF6" w14:textId="77777777" w:rsidR="00C76BED" w:rsidRPr="00C76BED" w:rsidRDefault="00C76BED" w:rsidP="00C76BED">
      <w:pPr>
        <w:spacing w:after="0"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7.- INTERPRETACIONES INTERMEDIAS:</w:t>
      </w:r>
    </w:p>
    <w:p w14:paraId="29FF7BD6" w14:textId="77777777" w:rsidR="00C76BED" w:rsidRPr="00C76BED" w:rsidRDefault="00C76BED" w:rsidP="00C76BED">
      <w:pPr>
        <w:numPr>
          <w:ilvl w:val="0"/>
          <w:numId w:val="3"/>
        </w:numPr>
        <w:spacing w:after="0"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Considerar gananciales a los derechos de </w:t>
      </w:r>
      <w:proofErr w:type="gramStart"/>
      <w:r w:rsidRPr="00C76BED">
        <w:rPr>
          <w:rFonts w:ascii="Arial" w:eastAsia="Arial" w:hAnsi="Arial" w:cs="Arial"/>
          <w:color w:val="000000"/>
          <w:sz w:val="20"/>
          <w:lang w:eastAsia="es-CR"/>
        </w:rPr>
        <w:t>autor</w:t>
      </w:r>
      <w:proofErr w:type="gramEnd"/>
      <w:r w:rsidRPr="00C76BED">
        <w:rPr>
          <w:rFonts w:ascii="Arial" w:eastAsia="Arial" w:hAnsi="Arial" w:cs="Arial"/>
          <w:color w:val="000000"/>
          <w:sz w:val="20"/>
          <w:lang w:eastAsia="es-CR"/>
        </w:rPr>
        <w:t xml:space="preserve"> pero atribuibles en la partición al autor</w:t>
      </w:r>
    </w:p>
    <w:p w14:paraId="493E8A9F" w14:textId="77777777" w:rsidR="00C76BED" w:rsidRPr="00C76BED" w:rsidRDefault="00C76BED" w:rsidP="00C76BED">
      <w:pPr>
        <w:numPr>
          <w:ilvl w:val="0"/>
          <w:numId w:val="3"/>
        </w:numPr>
        <w:spacing w:after="0"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Teoría que considera que el derecho de autor es propio y que lo producido por este es ganancial salvo, la enajenación total de la obra que se subroga en el derecho de autor y tiene por ende características propias</w:t>
      </w:r>
    </w:p>
    <w:p w14:paraId="7F58D358" w14:textId="77777777" w:rsidR="00C76BED" w:rsidRPr="00C76BED" w:rsidRDefault="00C76BED" w:rsidP="00C76BED">
      <w:pPr>
        <w:numPr>
          <w:ilvl w:val="0"/>
          <w:numId w:val="3"/>
        </w:numPr>
        <w:spacing w:after="210"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Teoría que estima que el derecho de autor es propio pero que lo producido por este durante la vigencia del matrimonio es siempre ganancial</w:t>
      </w:r>
    </w:p>
    <w:p w14:paraId="0DB0D227" w14:textId="77777777" w:rsidR="00C76BED" w:rsidRPr="00C76BED" w:rsidRDefault="00C76BED" w:rsidP="00C76BED">
      <w:pPr>
        <w:spacing w:after="206"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lastRenderedPageBreak/>
        <w:t>8.- CONCLUSIONES</w:t>
      </w:r>
    </w:p>
    <w:p w14:paraId="537AED52" w14:textId="77777777" w:rsidR="00C76BED" w:rsidRPr="00C76BED" w:rsidRDefault="00C76BED" w:rsidP="00C76BED">
      <w:pPr>
        <w:spacing w:after="236"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9.- ANEXO</w:t>
      </w:r>
    </w:p>
    <w:p w14:paraId="2DEF43BF" w14:textId="77777777" w:rsidR="00C76BED" w:rsidRPr="00C76BED" w:rsidRDefault="00C76BED" w:rsidP="00C76BED">
      <w:pPr>
        <w:spacing w:after="0"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10.- BIBLIOGRAFÍA</w:t>
      </w:r>
    </w:p>
    <w:p w14:paraId="4F06D1E0" w14:textId="77777777" w:rsidR="00C76BED" w:rsidRPr="00C76BED" w:rsidRDefault="00C76BED" w:rsidP="00C76BED">
      <w:pPr>
        <w:spacing w:after="262" w:line="266" w:lineRule="auto"/>
        <w:ind w:right="2"/>
        <w:jc w:val="both"/>
        <w:rPr>
          <w:rFonts w:ascii="Arial" w:eastAsia="Arial" w:hAnsi="Arial" w:cs="Arial"/>
          <w:color w:val="000000"/>
          <w:sz w:val="20"/>
          <w:lang w:eastAsia="es-CR"/>
        </w:rPr>
        <w:sectPr w:rsidR="00C76BED" w:rsidRPr="00C76BED">
          <w:headerReference w:type="even" r:id="rId7"/>
          <w:headerReference w:type="default" r:id="rId8"/>
          <w:headerReference w:type="first" r:id="rId9"/>
          <w:pgSz w:w="11140" w:h="15024"/>
          <w:pgMar w:top="484" w:right="1317" w:bottom="1440" w:left="1325" w:header="720" w:footer="720" w:gutter="0"/>
          <w:cols w:space="720"/>
        </w:sectPr>
      </w:pPr>
    </w:p>
    <w:p w14:paraId="613BF601" w14:textId="77777777" w:rsidR="00C76BED" w:rsidRPr="00C76BED" w:rsidRDefault="00C76BED" w:rsidP="00C76BED">
      <w:pPr>
        <w:spacing w:after="262" w:line="266" w:lineRule="auto"/>
        <w:ind w:right="2"/>
        <w:jc w:val="both"/>
        <w:rPr>
          <w:rFonts w:ascii="Arial" w:eastAsia="Arial" w:hAnsi="Arial" w:cs="Arial"/>
          <w:color w:val="000000"/>
          <w:sz w:val="20"/>
          <w:lang w:eastAsia="es-CR"/>
        </w:rPr>
        <w:sectPr w:rsidR="00C76BED" w:rsidRPr="00C76BED">
          <w:headerReference w:type="even" r:id="rId10"/>
          <w:headerReference w:type="default" r:id="rId11"/>
          <w:headerReference w:type="first" r:id="rId12"/>
          <w:pgSz w:w="11140" w:h="15024"/>
          <w:pgMar w:top="1440" w:right="1440" w:bottom="1440" w:left="1440" w:header="720" w:footer="720" w:gutter="0"/>
          <w:cols w:space="720"/>
        </w:sectPr>
      </w:pPr>
    </w:p>
    <w:p w14:paraId="54598131" w14:textId="77777777" w:rsidR="00C76BED" w:rsidRPr="00C76BED" w:rsidRDefault="00C76BED" w:rsidP="00C76BED">
      <w:pPr>
        <w:keepNext/>
        <w:keepLines/>
        <w:spacing w:after="3" w:line="263" w:lineRule="auto"/>
        <w:ind w:left="-5" w:hanging="10"/>
        <w:outlineLvl w:val="1"/>
        <w:rPr>
          <w:rFonts w:ascii="Arial" w:eastAsia="Arial" w:hAnsi="Arial" w:cs="Arial"/>
          <w:b/>
          <w:color w:val="000000"/>
          <w:sz w:val="36"/>
          <w:lang w:eastAsia="es-CR"/>
        </w:rPr>
      </w:pPr>
      <w:proofErr w:type="spellStart"/>
      <w:r w:rsidRPr="00C76BED">
        <w:rPr>
          <w:rFonts w:ascii="Arial" w:eastAsia="Arial" w:hAnsi="Arial" w:cs="Arial"/>
          <w:b/>
          <w:color w:val="000000"/>
          <w:sz w:val="36"/>
          <w:lang w:eastAsia="es-CR"/>
        </w:rPr>
        <w:lastRenderedPageBreak/>
        <w:t>DEREChO</w:t>
      </w:r>
      <w:proofErr w:type="spellEnd"/>
      <w:r w:rsidRPr="00C76BED">
        <w:rPr>
          <w:rFonts w:ascii="Arial" w:eastAsia="Arial" w:hAnsi="Arial" w:cs="Arial"/>
          <w:b/>
          <w:color w:val="000000"/>
          <w:sz w:val="36"/>
          <w:lang w:eastAsia="es-CR"/>
        </w:rPr>
        <w:t xml:space="preserve"> DE PROPIEDAD INTELECTUAL </w:t>
      </w:r>
      <w:proofErr w:type="spellStart"/>
      <w:r w:rsidRPr="00C76BED">
        <w:rPr>
          <w:rFonts w:ascii="Arial" w:eastAsia="Arial" w:hAnsi="Arial" w:cs="Arial"/>
          <w:b/>
          <w:color w:val="000000"/>
          <w:sz w:val="36"/>
          <w:lang w:eastAsia="es-CR"/>
        </w:rPr>
        <w:t>INmERSO</w:t>
      </w:r>
      <w:proofErr w:type="spellEnd"/>
      <w:r w:rsidRPr="00C76BED">
        <w:rPr>
          <w:rFonts w:ascii="Arial" w:eastAsia="Arial" w:hAnsi="Arial" w:cs="Arial"/>
          <w:b/>
          <w:color w:val="000000"/>
          <w:sz w:val="36"/>
          <w:lang w:eastAsia="es-CR"/>
        </w:rPr>
        <w:t xml:space="preserve"> EN EL </w:t>
      </w:r>
      <w:proofErr w:type="spellStart"/>
      <w:r w:rsidRPr="00C76BED">
        <w:rPr>
          <w:rFonts w:ascii="Arial" w:eastAsia="Arial" w:hAnsi="Arial" w:cs="Arial"/>
          <w:b/>
          <w:color w:val="000000"/>
          <w:sz w:val="36"/>
          <w:lang w:eastAsia="es-CR"/>
        </w:rPr>
        <w:t>RégImEN</w:t>
      </w:r>
      <w:proofErr w:type="spellEnd"/>
      <w:r w:rsidRPr="00C76BED">
        <w:rPr>
          <w:rFonts w:ascii="Arial" w:eastAsia="Arial" w:hAnsi="Arial" w:cs="Arial"/>
          <w:b/>
          <w:color w:val="000000"/>
          <w:sz w:val="36"/>
          <w:lang w:eastAsia="es-CR"/>
        </w:rPr>
        <w:t xml:space="preserve"> </w:t>
      </w:r>
      <w:proofErr w:type="spellStart"/>
      <w:r w:rsidRPr="00C76BED">
        <w:rPr>
          <w:rFonts w:ascii="Arial" w:eastAsia="Arial" w:hAnsi="Arial" w:cs="Arial"/>
          <w:b/>
          <w:color w:val="000000"/>
          <w:sz w:val="36"/>
          <w:lang w:eastAsia="es-CR"/>
        </w:rPr>
        <w:t>PATRImONIAL</w:t>
      </w:r>
      <w:proofErr w:type="spellEnd"/>
      <w:r w:rsidRPr="00C76BED">
        <w:rPr>
          <w:rFonts w:ascii="Arial" w:eastAsia="Arial" w:hAnsi="Arial" w:cs="Arial"/>
          <w:b/>
          <w:color w:val="000000"/>
          <w:sz w:val="36"/>
          <w:lang w:eastAsia="es-CR"/>
        </w:rPr>
        <w:t xml:space="preserve"> DEL </w:t>
      </w:r>
      <w:proofErr w:type="spellStart"/>
      <w:r w:rsidRPr="00C76BED">
        <w:rPr>
          <w:rFonts w:ascii="Arial" w:eastAsia="Arial" w:hAnsi="Arial" w:cs="Arial"/>
          <w:b/>
          <w:color w:val="000000"/>
          <w:sz w:val="36"/>
          <w:lang w:eastAsia="es-CR"/>
        </w:rPr>
        <w:t>mATRImONIO</w:t>
      </w:r>
      <w:proofErr w:type="spellEnd"/>
    </w:p>
    <w:p w14:paraId="08BE262C" w14:textId="77777777" w:rsidR="00C76BED" w:rsidRPr="00C76BED" w:rsidRDefault="00C76BED" w:rsidP="00C76BED">
      <w:pPr>
        <w:spacing w:after="262" w:line="266" w:lineRule="auto"/>
        <w:ind w:left="10" w:right="2" w:hanging="10"/>
        <w:jc w:val="both"/>
        <w:rPr>
          <w:rFonts w:ascii="Arial" w:eastAsia="Arial" w:hAnsi="Arial" w:cs="Arial"/>
          <w:color w:val="000000"/>
          <w:sz w:val="20"/>
          <w:lang w:eastAsia="es-CR"/>
        </w:rPr>
        <w:sectPr w:rsidR="00C76BED" w:rsidRPr="00C76BED">
          <w:headerReference w:type="even" r:id="rId13"/>
          <w:headerReference w:type="default" r:id="rId14"/>
          <w:headerReference w:type="first" r:id="rId15"/>
          <w:pgSz w:w="11140" w:h="15024"/>
          <w:pgMar w:top="1643" w:right="1950" w:bottom="1695" w:left="1950" w:header="994" w:footer="720" w:gutter="0"/>
          <w:cols w:space="720"/>
        </w:sectPr>
      </w:pPr>
    </w:p>
    <w:p w14:paraId="01CB12A5"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1.- INTRODUCCIÓN</w:t>
      </w:r>
    </w:p>
    <w:p w14:paraId="6697014E" w14:textId="77777777" w:rsidR="00C76BED" w:rsidRPr="00C76BED" w:rsidRDefault="00C76BED" w:rsidP="00C76BED">
      <w:pPr>
        <w:spacing w:after="594"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No siempre los derechos de autor tuvieron igual trascendencia económica y política; pues hace algunos años eran muy poco relevantes en el aspecto microeconómico e intrascendentes en el orden macroeconómico. Hoy vivimos un momento de creciente expansión de la importancia patrimonial de los derechos de autor y de sus derechos conexos, que viene avanzando a partir de la década del 50, época en que comienza el mayor desarrollo de las comunicaciones. La extensión de la tutela del derecho de autor a los programas de ordenador (</w:t>
      </w:r>
      <w:r w:rsidRPr="00C76BED">
        <w:rPr>
          <w:rFonts w:ascii="Arial" w:eastAsia="Arial" w:hAnsi="Arial" w:cs="Arial"/>
          <w:i/>
          <w:color w:val="000000"/>
          <w:sz w:val="20"/>
          <w:lang w:eastAsia="es-CR"/>
        </w:rPr>
        <w:t>o programas de computación o de cómputo o soportes lógicos</w:t>
      </w:r>
      <w:r w:rsidRPr="00C76BED">
        <w:rPr>
          <w:rFonts w:ascii="Arial" w:eastAsia="Arial" w:hAnsi="Arial" w:cs="Arial"/>
          <w:color w:val="000000"/>
          <w:sz w:val="20"/>
          <w:lang w:eastAsia="es-CR"/>
        </w:rPr>
        <w:t xml:space="preserve">) contribuyó a incrementar la significación de los bienes culturales en el balance comercial. Se puso de relieve la importancia económica del derecho de autor y su trascendencia política y social al estimular la creatividad, asegurar las inversiones y fomentar la difusión de bienes culturales. Ello nos convence de la necesidad de replantear la relación existente entre la propiedad intelectual y el régimen patrimonial del matrimonio, en especial la determinación de si estos constituyen un bien propio o un bien ganancial de los cónyuges, ya que a partir de allí daremos respuesta a una serie de cuestiones, como por ejemplo la relativa a si se requiere del asentimiento conyugal para la disposición del derecho de autor por tratarse este de un derecho registrable, o hasta cuando el cónyuge divorciado tiene derecho al producido de los derechos gananciales del otro cónyuge, o si deben existir diferencias de trato cuando la obra artística se realiza en calidad de dependiente </w:t>
      </w:r>
      <w:r w:rsidRPr="00C76BED">
        <w:rPr>
          <w:rFonts w:ascii="Arial" w:eastAsia="Arial" w:hAnsi="Arial" w:cs="Arial"/>
          <w:i/>
          <w:color w:val="000000"/>
          <w:sz w:val="20"/>
          <w:lang w:eastAsia="es-CR"/>
        </w:rPr>
        <w:t>Lic. José Miguel Fonseca Vindas</w:t>
      </w:r>
    </w:p>
    <w:p w14:paraId="4A1A0479" w14:textId="77777777" w:rsidR="00C76BED" w:rsidRPr="00C76BED" w:rsidRDefault="00C76BED" w:rsidP="00C76BED">
      <w:pPr>
        <w:spacing w:after="524"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y se cobra un sueldo por ello o cuando la obra artística es enajenada en su totalidad. Al margen de las cuestiones sentimentales, hay que </w:t>
      </w:r>
      <w:proofErr w:type="spellStart"/>
      <w:r w:rsidRPr="00C76BED">
        <w:rPr>
          <w:rFonts w:ascii="Arial" w:eastAsia="Arial" w:hAnsi="Arial" w:cs="Arial"/>
          <w:color w:val="000000"/>
          <w:sz w:val="20"/>
          <w:lang w:eastAsia="es-CR"/>
        </w:rPr>
        <w:t>esolver</w:t>
      </w:r>
      <w:proofErr w:type="spellEnd"/>
      <w:r w:rsidRPr="00C76BED">
        <w:rPr>
          <w:rFonts w:ascii="Arial" w:eastAsia="Arial" w:hAnsi="Arial" w:cs="Arial"/>
          <w:color w:val="000000"/>
          <w:sz w:val="20"/>
          <w:lang w:eastAsia="es-CR"/>
        </w:rPr>
        <w:t xml:space="preserve"> los temas económicos, pues durante el matrimonio se han obtenido o generado ingresos, plusvalías, rendimientos en capital, aportaciones de bienes, que hay que repartir. </w:t>
      </w:r>
    </w:p>
    <w:p w14:paraId="632A7F74"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 xml:space="preserve">2.- RÉGIMEN PATRIMONIAL </w:t>
      </w:r>
      <w:proofErr w:type="gramStart"/>
      <w:r w:rsidRPr="00C76BED">
        <w:rPr>
          <w:rFonts w:ascii="Arial" w:eastAsia="Arial" w:hAnsi="Arial" w:cs="Arial"/>
          <w:b/>
          <w:i/>
          <w:color w:val="000000"/>
          <w:sz w:val="26"/>
          <w:lang w:eastAsia="es-CR"/>
        </w:rPr>
        <w:t xml:space="preserve">CONVENCIONAL  </w:t>
      </w:r>
      <w:r w:rsidRPr="00C76BED">
        <w:rPr>
          <w:rFonts w:ascii="Arial" w:eastAsia="Arial" w:hAnsi="Arial" w:cs="Arial"/>
          <w:b/>
          <w:i/>
          <w:color w:val="000000"/>
          <w:sz w:val="26"/>
          <w:lang w:eastAsia="es-CR"/>
        </w:rPr>
        <w:tab/>
      </w:r>
      <w:proofErr w:type="gramEnd"/>
      <w:r w:rsidRPr="00C76BED">
        <w:rPr>
          <w:rFonts w:ascii="Arial" w:eastAsia="Arial" w:hAnsi="Arial" w:cs="Arial"/>
          <w:b/>
          <w:i/>
          <w:color w:val="000000"/>
          <w:sz w:val="26"/>
          <w:lang w:eastAsia="es-CR"/>
        </w:rPr>
        <w:t>y DE PARTICIPACIÓN</w:t>
      </w:r>
    </w:p>
    <w:p w14:paraId="70687BC0"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Nuestro régimen económico matrimonial —y ahora también el de la unión de hecho regular— (Art. 242 Código de Familia) es en primer lugar el convencional de capitulaciones matrimoniales (Arts. 37 a 39 del Código de Familia), el cual raramente es usado en nuestro país. A falta de este, opera un régimen de libre disposición —no absoluta— durante la vigencia del matrimonio (numeral 40 </w:t>
      </w:r>
      <w:proofErr w:type="spellStart"/>
      <w:r w:rsidRPr="00C76BED">
        <w:rPr>
          <w:rFonts w:ascii="Arial" w:eastAsia="Arial" w:hAnsi="Arial" w:cs="Arial"/>
          <w:color w:val="000000"/>
          <w:sz w:val="20"/>
          <w:lang w:eastAsia="es-CR"/>
        </w:rPr>
        <w:t>ibídem</w:t>
      </w:r>
      <w:proofErr w:type="spellEnd"/>
      <w:r w:rsidRPr="00C76BED">
        <w:rPr>
          <w:rFonts w:ascii="Arial" w:eastAsia="Arial" w:hAnsi="Arial" w:cs="Arial"/>
          <w:color w:val="000000"/>
          <w:sz w:val="20"/>
          <w:lang w:eastAsia="es-CR"/>
        </w:rPr>
        <w:t xml:space="preserve">), </w:t>
      </w:r>
      <w:proofErr w:type="spellStart"/>
      <w:r w:rsidRPr="00C76BED">
        <w:rPr>
          <w:rFonts w:ascii="Arial" w:eastAsia="Arial" w:hAnsi="Arial" w:cs="Arial"/>
          <w:color w:val="000000"/>
          <w:sz w:val="20"/>
          <w:lang w:eastAsia="es-CR"/>
        </w:rPr>
        <w:t>mas</w:t>
      </w:r>
      <w:proofErr w:type="spellEnd"/>
      <w:r w:rsidRPr="00C76BED">
        <w:rPr>
          <w:rFonts w:ascii="Arial" w:eastAsia="Arial" w:hAnsi="Arial" w:cs="Arial"/>
          <w:color w:val="000000"/>
          <w:sz w:val="20"/>
          <w:lang w:eastAsia="es-CR"/>
        </w:rPr>
        <w:t xml:space="preserve"> al disolverse —sea por muerte o por divorcio—, o bien al declararse la separación judicial, al declararse nulo el matrimonio, al decretarse la liquidación anticipada de los bienes gananciales o al celebrarse capitulaciones matrimoniales después de las nupcias sin acordar sobre los bienes ya adquiridos, cada cónyuge adquiere al derecho de participar en la mitad del valor neto de los bienes gananciales constatados en el patrimonio del otro.</w:t>
      </w:r>
    </w:p>
    <w:p w14:paraId="7360633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Este </w:t>
      </w:r>
      <w:r w:rsidRPr="00C76BED">
        <w:rPr>
          <w:rFonts w:ascii="Arial" w:eastAsia="Arial" w:hAnsi="Arial" w:cs="Arial"/>
          <w:b/>
          <w:color w:val="000000"/>
          <w:sz w:val="20"/>
          <w:lang w:eastAsia="es-CR"/>
        </w:rPr>
        <w:t>derecho es de tipo personal</w:t>
      </w:r>
      <w:r w:rsidRPr="00C76BED">
        <w:rPr>
          <w:rFonts w:ascii="Arial" w:eastAsia="Arial" w:hAnsi="Arial" w:cs="Arial"/>
          <w:color w:val="000000"/>
          <w:sz w:val="20"/>
          <w:lang w:eastAsia="es-CR"/>
        </w:rPr>
        <w:t xml:space="preserve">, es un derecho a una suma de dinero, es decir de crédito; por lo cual se debe interpretar que como requisito “sine qua </w:t>
      </w:r>
      <w:proofErr w:type="spellStart"/>
      <w:r w:rsidRPr="00C76BED">
        <w:rPr>
          <w:rFonts w:ascii="Arial" w:eastAsia="Arial" w:hAnsi="Arial" w:cs="Arial"/>
          <w:color w:val="000000"/>
          <w:sz w:val="20"/>
          <w:lang w:eastAsia="es-CR"/>
        </w:rPr>
        <w:t>nom</w:t>
      </w:r>
      <w:proofErr w:type="spellEnd"/>
      <w:r w:rsidRPr="00C76BED">
        <w:rPr>
          <w:rFonts w:ascii="Arial" w:eastAsia="Arial" w:hAnsi="Arial" w:cs="Arial"/>
          <w:color w:val="000000"/>
          <w:sz w:val="20"/>
          <w:lang w:eastAsia="es-CR"/>
        </w:rPr>
        <w:t xml:space="preserve">”, que tal derecho </w:t>
      </w:r>
      <w:r w:rsidRPr="00C76BED">
        <w:rPr>
          <w:rFonts w:ascii="Arial" w:eastAsia="Arial" w:hAnsi="Arial" w:cs="Arial"/>
          <w:color w:val="000000"/>
          <w:sz w:val="20"/>
          <w:lang w:eastAsia="es-CR"/>
        </w:rPr>
        <w:lastRenderedPageBreak/>
        <w:t xml:space="preserve">deviene de la generación o traducción dineraria de este. Jurisprudencialmente se ha dicho que la liquidación de esos bienes con vocación ganancial es o son los residuos de la liquidación de la </w:t>
      </w:r>
      <w:r w:rsidRPr="00C76BED">
        <w:rPr>
          <w:rFonts w:ascii="Arial" w:eastAsia="Arial" w:hAnsi="Arial" w:cs="Arial"/>
          <w:i/>
          <w:color w:val="000000"/>
          <w:sz w:val="20"/>
          <w:lang w:eastAsia="es-CR"/>
        </w:rPr>
        <w:t>sociedad conyugal</w:t>
      </w:r>
      <w:r w:rsidRPr="00C76BED">
        <w:rPr>
          <w:rFonts w:ascii="Arial" w:eastAsia="Arial" w:hAnsi="Arial" w:cs="Arial"/>
          <w:color w:val="000000"/>
          <w:sz w:val="20"/>
          <w:lang w:eastAsia="es-CR"/>
        </w:rPr>
        <w:t xml:space="preserve">, proceso complejo que comprende la liquidación que se puntualiza de manera muy abierta en la normativa costarricense, que trata sobre la </w:t>
      </w:r>
      <w:r w:rsidRPr="00C76BED">
        <w:rPr>
          <w:rFonts w:ascii="Arial" w:eastAsia="Arial" w:hAnsi="Arial" w:cs="Arial"/>
          <w:i/>
          <w:color w:val="000000"/>
          <w:sz w:val="20"/>
          <w:lang w:eastAsia="es-CR"/>
        </w:rPr>
        <w:t>disolución de la sociedad conyugal y de la partición de gananciales</w:t>
      </w:r>
      <w:r w:rsidRPr="00C76BED">
        <w:rPr>
          <w:rFonts w:ascii="Arial" w:eastAsia="Arial" w:hAnsi="Arial" w:cs="Arial"/>
          <w:color w:val="000000"/>
          <w:sz w:val="20"/>
          <w:lang w:eastAsia="es-CR"/>
        </w:rPr>
        <w:t>: esto es el inventario y tasación de los bienes sociales, el acervo imaginario divisible del haber social, la restitución de los bienes propios de cada cónyuge y el pago de los saldos, precios recompensas y abonos a que hubiere lugar entre los cónyuges entre sí y con respecto a la sociedad conyugal que se liquida.</w:t>
      </w:r>
    </w:p>
    <w:p w14:paraId="53CA451D"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En la </w:t>
      </w:r>
      <w:r w:rsidRPr="00C76BED">
        <w:rPr>
          <w:rFonts w:ascii="Arial" w:eastAsia="Arial" w:hAnsi="Arial" w:cs="Arial"/>
          <w:b/>
          <w:color w:val="000000"/>
          <w:sz w:val="20"/>
          <w:lang w:eastAsia="es-CR"/>
        </w:rPr>
        <w:t>Sociedad de gananciales</w:t>
      </w:r>
      <w:r w:rsidRPr="00C76BED">
        <w:rPr>
          <w:rFonts w:ascii="Arial" w:eastAsia="Arial" w:hAnsi="Arial" w:cs="Arial"/>
          <w:color w:val="000000"/>
          <w:sz w:val="20"/>
          <w:lang w:eastAsia="es-CR"/>
        </w:rPr>
        <w:t xml:space="preserve">, el marido y la mujer, al disolverse el matrimonio, harán suyos por mitades las ganancias o beneficios obtenidos durante este. El “ganancial” es todo lo que adquieren los cónyuges durante la comunidad, estando juntos, a título oneroso y todo lo que durante el mismo tiempo proviene de la actividad física o intelectual de ellos </w:t>
      </w:r>
      <w:proofErr w:type="gramStart"/>
      <w:r w:rsidRPr="00C76BED">
        <w:rPr>
          <w:rFonts w:ascii="Arial" w:eastAsia="Arial" w:hAnsi="Arial" w:cs="Arial"/>
          <w:color w:val="000000"/>
          <w:sz w:val="20"/>
          <w:lang w:eastAsia="es-CR"/>
        </w:rPr>
        <w:t>y ”gananciales</w:t>
      </w:r>
      <w:proofErr w:type="gramEnd"/>
      <w:r w:rsidRPr="00C76BED">
        <w:rPr>
          <w:rFonts w:ascii="Arial" w:eastAsia="Arial" w:hAnsi="Arial" w:cs="Arial"/>
          <w:color w:val="000000"/>
          <w:sz w:val="20"/>
          <w:lang w:eastAsia="es-CR"/>
        </w:rPr>
        <w:t>” es lo que queda después de pagadas las deudas de la sociedad conyugal y hechas las demás deducciones que establece la ley. Los gananciales son el remanente líquido de los bienes resultantes de la gestión social, luego de deducidos los bienes propios y recompensas de los cónyuges; mientras que “ganancialidad” es todo recurso material o monetario con calidad de beneficio y que entra por tanto al activo social.</w:t>
      </w:r>
    </w:p>
    <w:p w14:paraId="11CA3C2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Con una revisión de las notas de los numerales 40 y 41, ambos del Código de Familia, nos acercamos a una visión de la lectura que se ha hecho en nuestro régimen, no obstante, es importante destacar un aspecto que se debe desarrollar. La doctrina ha identificado el sistema patrimonial matrimonial de Costa Rica como pionero en el </w:t>
      </w:r>
      <w:r w:rsidRPr="00C76BED">
        <w:rPr>
          <w:rFonts w:ascii="Arial" w:eastAsia="Arial" w:hAnsi="Arial" w:cs="Arial"/>
          <w:b/>
          <w:color w:val="000000"/>
          <w:sz w:val="20"/>
          <w:lang w:eastAsia="es-CR"/>
        </w:rPr>
        <w:t xml:space="preserve">modelo de participación </w:t>
      </w:r>
      <w:r w:rsidRPr="00C76BED">
        <w:rPr>
          <w:rFonts w:ascii="Arial" w:eastAsia="Arial" w:hAnsi="Arial" w:cs="Arial"/>
          <w:color w:val="000000"/>
          <w:sz w:val="20"/>
          <w:lang w:eastAsia="es-CR"/>
        </w:rPr>
        <w:t>o mixto, ya que desde el Código Civil de 1888 estipuló este sistema como el legal, antecedido únicamente por la costumbre húngara y por el Código Polaco de 1825 que lo tuvo como opcional (</w:t>
      </w:r>
      <w:proofErr w:type="spellStart"/>
      <w:r w:rsidRPr="00C76BED">
        <w:rPr>
          <w:rFonts w:ascii="Arial" w:eastAsia="Arial" w:hAnsi="Arial" w:cs="Arial"/>
          <w:color w:val="000000"/>
          <w:sz w:val="20"/>
          <w:lang w:eastAsia="es-CR"/>
        </w:rPr>
        <w:t>Zatjay</w:t>
      </w:r>
      <w:proofErr w:type="spellEnd"/>
      <w:r w:rsidRPr="00C76BED">
        <w:rPr>
          <w:rFonts w:ascii="Arial" w:eastAsia="Arial" w:hAnsi="Arial" w:cs="Arial"/>
          <w:color w:val="000000"/>
          <w:sz w:val="20"/>
          <w:lang w:eastAsia="es-CR"/>
        </w:rPr>
        <w:t xml:space="preserve">, </w:t>
      </w:r>
      <w:proofErr w:type="spellStart"/>
      <w:r w:rsidRPr="00C76BED">
        <w:rPr>
          <w:rFonts w:ascii="Arial" w:eastAsia="Arial" w:hAnsi="Arial" w:cs="Arial"/>
          <w:color w:val="000000"/>
          <w:sz w:val="20"/>
          <w:lang w:eastAsia="es-CR"/>
        </w:rPr>
        <w:t>Imre</w:t>
      </w:r>
      <w:proofErr w:type="spellEnd"/>
      <w:r w:rsidRPr="00C76BED">
        <w:rPr>
          <w:rFonts w:ascii="Arial" w:eastAsia="Arial" w:hAnsi="Arial" w:cs="Arial"/>
          <w:color w:val="000000"/>
          <w:sz w:val="20"/>
          <w:lang w:eastAsia="es-CR"/>
        </w:rPr>
        <w:t xml:space="preserve"> – Vaz Ferrería, Eduardo; Contribución al estudio de los regímenes matrimoniales de participación, Montevideo 1950, pp. 3 y 4. Vidal </w:t>
      </w:r>
      <w:proofErr w:type="spellStart"/>
      <w:r w:rsidRPr="00C76BED">
        <w:rPr>
          <w:rFonts w:ascii="Arial" w:eastAsia="Arial" w:hAnsi="Arial" w:cs="Arial"/>
          <w:color w:val="000000"/>
          <w:sz w:val="20"/>
          <w:lang w:eastAsia="es-CR"/>
        </w:rPr>
        <w:t>Taquini</w:t>
      </w:r>
      <w:proofErr w:type="spellEnd"/>
      <w:r w:rsidRPr="00C76BED">
        <w:rPr>
          <w:rFonts w:ascii="Arial" w:eastAsia="Arial" w:hAnsi="Arial" w:cs="Arial"/>
          <w:color w:val="000000"/>
          <w:sz w:val="20"/>
          <w:lang w:eastAsia="es-CR"/>
        </w:rPr>
        <w:t xml:space="preserve">, Carlos H.; </w:t>
      </w:r>
      <w:proofErr w:type="spellStart"/>
      <w:r w:rsidRPr="00C76BED">
        <w:rPr>
          <w:rFonts w:ascii="Arial" w:eastAsia="Arial" w:hAnsi="Arial" w:cs="Arial"/>
          <w:color w:val="000000"/>
          <w:sz w:val="20"/>
          <w:lang w:eastAsia="es-CR"/>
        </w:rPr>
        <w:t>Regimen</w:t>
      </w:r>
      <w:proofErr w:type="spellEnd"/>
      <w:r w:rsidRPr="00C76BED">
        <w:rPr>
          <w:rFonts w:ascii="Arial" w:eastAsia="Arial" w:hAnsi="Arial" w:cs="Arial"/>
          <w:color w:val="000000"/>
          <w:sz w:val="20"/>
          <w:lang w:eastAsia="es-CR"/>
        </w:rPr>
        <w:t xml:space="preserve"> de bienes en el matrimonial. Editorial Astrea, Buenos Aires, 1978, pp. 21-22, 158, 159). En su momento dicho modelo fue identificado como el modelo prototipo de la igualdad de los cónyuges. </w:t>
      </w:r>
    </w:p>
    <w:p w14:paraId="167397F7" w14:textId="77777777" w:rsidR="00C76BED" w:rsidRPr="00C76BED" w:rsidRDefault="00C76BED" w:rsidP="00C76BED">
      <w:pPr>
        <w:spacing w:after="525"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Sin embargo, debe decirse que el sistema costarricense ha sido criticado puesto que se presta fácilmente al abuso del derecho de libre disposición en perjuicio de los derechos gananciales de los cónyuges, principalmente en perjuicio de las esposas, por los escenarios de estructuras de poder típicos en la sociedad, a favor de los varones. Hay muchas posibilidades de regular el régimen económico-matrimonial, pero para resumir y ya que el tema no es en cuestiones de Derecho de Familia propiamente, al final se trata de distinguir entre bienes privativos (de cada uno de los cónyuges) o bienes de la sociedad conyugal (del conjunto, ya se llamen gananciales, comunes o de conquista).</w:t>
      </w:r>
    </w:p>
    <w:p w14:paraId="6B999DBE" w14:textId="77777777" w:rsidR="00C76BED" w:rsidRPr="00C76BED" w:rsidRDefault="00C76BED" w:rsidP="00C76BED">
      <w:pPr>
        <w:keepNext/>
        <w:keepLines/>
        <w:spacing w:after="201"/>
        <w:ind w:left="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3.- CONCEPTO DE GANANCIAL</w:t>
      </w:r>
    </w:p>
    <w:p w14:paraId="7F457902"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Si tomamos en cuenta que nuestro ordenamiento jurídico establece como régimen de participación diferida (puesto que sería ilógico analizar el sistema convencional, ya que las capitulaciones matrimoniales resultan un convenio entre los mismos contrayentes o cónyuges, entendido este a su conveniencia), que al disolverse o declararse nulo el matrimonio y al declararse la separación judicial, cada cónyuge adquiere el </w:t>
      </w:r>
      <w:r w:rsidRPr="00C76BED">
        <w:rPr>
          <w:rFonts w:ascii="Arial" w:eastAsia="Arial" w:hAnsi="Arial" w:cs="Arial"/>
          <w:color w:val="000000"/>
          <w:sz w:val="20"/>
          <w:lang w:eastAsia="es-CR"/>
        </w:rPr>
        <w:lastRenderedPageBreak/>
        <w:t xml:space="preserve">derecho de participar en la mitad del valor neto de los bienes gananciales constatados en el patrimonio del otro (Artículo 41 del </w:t>
      </w:r>
      <w:proofErr w:type="spellStart"/>
      <w:r w:rsidRPr="00C76BED">
        <w:rPr>
          <w:rFonts w:ascii="Arial" w:eastAsia="Arial" w:hAnsi="Arial" w:cs="Arial"/>
          <w:color w:val="000000"/>
          <w:sz w:val="20"/>
          <w:lang w:eastAsia="es-CR"/>
        </w:rPr>
        <w:t>Code</w:t>
      </w:r>
      <w:proofErr w:type="spellEnd"/>
      <w:r w:rsidRPr="00C76BED">
        <w:rPr>
          <w:rFonts w:ascii="Arial" w:eastAsia="Arial" w:hAnsi="Arial" w:cs="Arial"/>
          <w:color w:val="000000"/>
          <w:sz w:val="20"/>
          <w:lang w:eastAsia="es-CR"/>
        </w:rPr>
        <w:t xml:space="preserve"> Familia). Se debe destacar dos cosas importantes: la primera que la norma es abierta y no distingue a </w:t>
      </w:r>
      <w:proofErr w:type="gramStart"/>
      <w:r w:rsidRPr="00C76BED">
        <w:rPr>
          <w:rFonts w:ascii="Arial" w:eastAsia="Arial" w:hAnsi="Arial" w:cs="Arial"/>
          <w:color w:val="000000"/>
          <w:sz w:val="20"/>
          <w:lang w:eastAsia="es-CR"/>
        </w:rPr>
        <w:t>cuáles clase</w:t>
      </w:r>
      <w:proofErr w:type="gramEnd"/>
      <w:r w:rsidRPr="00C76BED">
        <w:rPr>
          <w:rFonts w:ascii="Arial" w:eastAsia="Arial" w:hAnsi="Arial" w:cs="Arial"/>
          <w:color w:val="000000"/>
          <w:sz w:val="20"/>
          <w:lang w:eastAsia="es-CR"/>
        </w:rPr>
        <w:t xml:space="preserve"> de bienes se refiere; la segunda, en que tampoco determina cuáles son o deben ser gananciales. Al respecto, solamente existen las excepciones de lo que no es ganancial, llámense así entonces: los que fueron introducidos al matrimonio o adquiridos durante él por título gratuito o por causa aleatoria; los comprados con valores propios de uno de los cónyuges destinados a ello en las capitulaciones; aquellos cuya causa o título de adquisición precedió al matrimonio; los muebles e inmuebles que fueron subrogados a otros propios de alguno de los cónyuges; y por último, los adquiridos durante la separación de hecho de los cónyuges. (Incisos 1, 2, 3, 4 y 5 del numeral de cita</w:t>
      </w:r>
      <w:proofErr w:type="gramStart"/>
      <w:r w:rsidRPr="00C76BED">
        <w:rPr>
          <w:rFonts w:ascii="Arial" w:eastAsia="Arial" w:hAnsi="Arial" w:cs="Arial"/>
          <w:color w:val="000000"/>
          <w:sz w:val="20"/>
          <w:lang w:eastAsia="es-CR"/>
        </w:rPr>
        <w:t>).-</w:t>
      </w:r>
      <w:proofErr w:type="gramEnd"/>
      <w:r w:rsidRPr="00C76BED">
        <w:rPr>
          <w:rFonts w:ascii="Arial" w:eastAsia="Arial" w:hAnsi="Arial" w:cs="Arial"/>
          <w:color w:val="000000"/>
          <w:sz w:val="20"/>
          <w:lang w:eastAsia="es-CR"/>
        </w:rPr>
        <w:t xml:space="preserve"> </w:t>
      </w:r>
    </w:p>
    <w:p w14:paraId="27402CA7"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w:t>
      </w:r>
      <w:r w:rsidRPr="00C76BED">
        <w:rPr>
          <w:rFonts w:ascii="Arial" w:eastAsia="Arial" w:hAnsi="Arial" w:cs="Arial"/>
          <w:b/>
          <w:color w:val="000000"/>
          <w:sz w:val="20"/>
          <w:lang w:eastAsia="es-CR"/>
        </w:rPr>
        <w:t>calificativo de ganancial</w:t>
      </w:r>
      <w:r w:rsidRPr="00C76BED">
        <w:rPr>
          <w:rFonts w:ascii="Arial" w:eastAsia="Arial" w:hAnsi="Arial" w:cs="Arial"/>
          <w:color w:val="000000"/>
          <w:sz w:val="20"/>
          <w:lang w:eastAsia="es-CR"/>
        </w:rPr>
        <w:t>, en su filosofía y en el ordenamiento jurídico positivo, hace referencia a un determinado bien, adquirido durante la existencia del vínculo matrimonial, mediante el esfuerzo y la cooperación, reales y efectivas, de ambos cónyuges. En relación con su significado, se ha indicado que “</w:t>
      </w:r>
      <w:r w:rsidRPr="00C76BED">
        <w:rPr>
          <w:rFonts w:ascii="Arial" w:eastAsia="Arial" w:hAnsi="Arial" w:cs="Arial"/>
          <w:i/>
          <w:color w:val="000000"/>
          <w:sz w:val="20"/>
          <w:lang w:eastAsia="es-CR"/>
        </w:rPr>
        <w:t>bienes gananciales</w:t>
      </w:r>
      <w:r w:rsidRPr="00C76BED">
        <w:rPr>
          <w:rFonts w:ascii="Arial" w:eastAsia="Arial" w:hAnsi="Arial" w:cs="Arial"/>
          <w:color w:val="000000"/>
          <w:sz w:val="20"/>
          <w:lang w:eastAsia="es-CR"/>
        </w:rPr>
        <w:t xml:space="preserve">” son todos aquellos a título oneroso dentro del matrimonio, mediante el trabajo, el esfuerzo y la cooperación de ambos cónyuges en su comunidad de vida y que han significado un aumento en el patrimonio de cada uno de ellos, respecto del que se aportó al constituirse el matrimonio. </w:t>
      </w:r>
    </w:p>
    <w:p w14:paraId="63FDBDE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Así, podemos observar que los bienes gananciales son aquellos que implican un aumento de capital, un acrecentamiento patrimonial, forjado mediante el esfuerzo de los esposos (Trejos Salas Gerardo, Derecho de Familia Costarricense, Tomo I, San José, Editorial </w:t>
      </w:r>
      <w:proofErr w:type="spellStart"/>
      <w:r w:rsidRPr="00C76BED">
        <w:rPr>
          <w:rFonts w:ascii="Arial" w:eastAsia="Arial" w:hAnsi="Arial" w:cs="Arial"/>
          <w:color w:val="000000"/>
          <w:sz w:val="20"/>
          <w:lang w:eastAsia="es-CR"/>
        </w:rPr>
        <w:t>Juricentro</w:t>
      </w:r>
      <w:proofErr w:type="spellEnd"/>
      <w:r w:rsidRPr="00C76BED">
        <w:rPr>
          <w:rFonts w:ascii="Arial" w:eastAsia="Arial" w:hAnsi="Arial" w:cs="Arial"/>
          <w:color w:val="000000"/>
          <w:sz w:val="20"/>
          <w:lang w:eastAsia="es-CR"/>
        </w:rPr>
        <w:t xml:space="preserve">, primera edición, 1990, p. </w:t>
      </w:r>
      <w:r w:rsidRPr="00C76BED">
        <w:rPr>
          <w:rFonts w:ascii="Arial" w:eastAsia="Arial" w:hAnsi="Arial" w:cs="Arial"/>
          <w:color w:val="000000"/>
          <w:sz w:val="20"/>
          <w:lang w:eastAsia="es-CR"/>
        </w:rPr>
        <w:t xml:space="preserve">180). Ese esfuerzo común de los cónyuges se desprende de su colaboración no solo en lo material, sino también en lo moral y en la entrega de ambos por ir, día con día, satisfaciendo las necesidades del hogar y debe partirse siempre, salvo prueba fehaciente en contrario, de que, ambos cónyuges, velan y se esfuerzan, en la medida de sus posibilidades, por el mejoramiento de las condiciones de la familia; por esta razón, se presumen gananciales los bienes que adquieran durante la vigencia plena de su matrimonio. Como se dijo en líneas atrás, de conformidad con la reforma introducida al artículo 41 del Código de Familia, por la Ley n. º 7689 del 21 de agosto del año 1997, ambos cónyuges adquieren el derecho a participar en los bienes gananciales, que se constaten en el patrimonio del otro, con absoluta independencia del calificativo de inocente o de culpable, dentro de un proceso que concluya con la disolución del </w:t>
      </w:r>
      <w:proofErr w:type="spellStart"/>
      <w:r w:rsidRPr="00C76BED">
        <w:rPr>
          <w:rFonts w:ascii="Arial" w:eastAsia="Arial" w:hAnsi="Arial" w:cs="Arial"/>
          <w:color w:val="000000"/>
          <w:sz w:val="20"/>
          <w:lang w:eastAsia="es-CR"/>
        </w:rPr>
        <w:t>vinculo</w:t>
      </w:r>
      <w:proofErr w:type="spellEnd"/>
      <w:r w:rsidRPr="00C76BED">
        <w:rPr>
          <w:rFonts w:ascii="Arial" w:eastAsia="Arial" w:hAnsi="Arial" w:cs="Arial"/>
          <w:color w:val="000000"/>
          <w:sz w:val="20"/>
          <w:lang w:eastAsia="es-CR"/>
        </w:rPr>
        <w:t xml:space="preserve"> matrimonial. </w:t>
      </w:r>
    </w:p>
    <w:p w14:paraId="186C6DA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Dentro del mismo orden de ideas, del libro titulado </w:t>
      </w:r>
      <w:r w:rsidRPr="00C76BED">
        <w:rPr>
          <w:rFonts w:ascii="Arial" w:eastAsia="Arial" w:hAnsi="Arial" w:cs="Arial"/>
          <w:i/>
          <w:color w:val="000000"/>
          <w:sz w:val="20"/>
          <w:lang w:eastAsia="es-CR"/>
        </w:rPr>
        <w:t>Tratado de los Bienes</w:t>
      </w:r>
      <w:r w:rsidRPr="00C76BED">
        <w:rPr>
          <w:rFonts w:ascii="Arial" w:eastAsia="Arial" w:hAnsi="Arial" w:cs="Arial"/>
          <w:color w:val="000000"/>
          <w:sz w:val="20"/>
          <w:lang w:eastAsia="es-CR"/>
        </w:rPr>
        <w:t xml:space="preserve">, escrito por don Alberto Brenes Córdoba, se rescata la siguiente idea: </w:t>
      </w:r>
    </w:p>
    <w:p w14:paraId="12B7E58F"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que una cosa sea útil, no es bastante, sin embargo, para darle cabida entre los bienes, es preciso que sea una utilidad representativa de un valor económico, apreciable y que se trate de algo capaz de ser enajenado. (Editorial </w:t>
      </w:r>
      <w:proofErr w:type="spellStart"/>
      <w:r w:rsidRPr="00C76BED">
        <w:rPr>
          <w:rFonts w:ascii="Arial" w:eastAsia="Arial" w:hAnsi="Arial" w:cs="Arial"/>
          <w:color w:val="000000"/>
          <w:sz w:val="20"/>
          <w:lang w:eastAsia="es-CR"/>
        </w:rPr>
        <w:t>Juricentro</w:t>
      </w:r>
      <w:proofErr w:type="spellEnd"/>
      <w:r w:rsidRPr="00C76BED">
        <w:rPr>
          <w:rFonts w:ascii="Arial" w:eastAsia="Arial" w:hAnsi="Arial" w:cs="Arial"/>
          <w:color w:val="000000"/>
          <w:sz w:val="20"/>
          <w:lang w:eastAsia="es-CR"/>
        </w:rPr>
        <w:t xml:space="preserve">, Sétima edición, pp. 26). </w:t>
      </w:r>
    </w:p>
    <w:p w14:paraId="33EE4769"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Para nosotros los </w:t>
      </w:r>
      <w:proofErr w:type="spellStart"/>
      <w:r w:rsidRPr="00C76BED">
        <w:rPr>
          <w:rFonts w:ascii="Arial" w:eastAsia="Arial" w:hAnsi="Arial" w:cs="Arial"/>
          <w:color w:val="000000"/>
          <w:sz w:val="20"/>
          <w:lang w:eastAsia="es-CR"/>
        </w:rPr>
        <w:t>juriconsultos</w:t>
      </w:r>
      <w:proofErr w:type="spellEnd"/>
      <w:r w:rsidRPr="00C76BED">
        <w:rPr>
          <w:rFonts w:ascii="Arial" w:eastAsia="Arial" w:hAnsi="Arial" w:cs="Arial"/>
          <w:color w:val="000000"/>
          <w:sz w:val="20"/>
          <w:lang w:eastAsia="es-CR"/>
        </w:rPr>
        <w:t xml:space="preserve"> solo son bienes aquellas cosas que pueden entrar en el patrimonio para aumentarlo o </w:t>
      </w:r>
      <w:proofErr w:type="spellStart"/>
      <w:proofErr w:type="gramStart"/>
      <w:r w:rsidRPr="00C76BED">
        <w:rPr>
          <w:rFonts w:ascii="Arial" w:eastAsia="Arial" w:hAnsi="Arial" w:cs="Arial"/>
          <w:color w:val="000000"/>
          <w:sz w:val="20"/>
          <w:lang w:eastAsia="es-CR"/>
        </w:rPr>
        <w:t>enriqueserlo</w:t>
      </w:r>
      <w:proofErr w:type="spellEnd"/>
      <w:r w:rsidRPr="00C76BED">
        <w:rPr>
          <w:rFonts w:ascii="Arial" w:eastAsia="Arial" w:hAnsi="Arial" w:cs="Arial"/>
          <w:color w:val="000000"/>
          <w:sz w:val="20"/>
          <w:lang w:eastAsia="es-CR"/>
        </w:rPr>
        <w:t>..</w:t>
      </w:r>
      <w:proofErr w:type="gramEnd"/>
      <w:r w:rsidRPr="00C76BED">
        <w:rPr>
          <w:rFonts w:ascii="Arial" w:eastAsia="Arial" w:hAnsi="Arial" w:cs="Arial"/>
          <w:color w:val="000000"/>
          <w:sz w:val="20"/>
          <w:lang w:eastAsia="es-CR"/>
        </w:rPr>
        <w:t xml:space="preserve"> (Cita de don Alberto a DEMOLOMBE).</w:t>
      </w:r>
    </w:p>
    <w:p w14:paraId="57366448"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Por su parte, en el libro </w:t>
      </w:r>
      <w:r w:rsidRPr="00C76BED">
        <w:rPr>
          <w:rFonts w:ascii="Arial" w:eastAsia="Arial" w:hAnsi="Arial" w:cs="Arial"/>
          <w:i/>
          <w:color w:val="000000"/>
          <w:sz w:val="20"/>
          <w:lang w:eastAsia="es-CR"/>
        </w:rPr>
        <w:t>Derecho Privado</w:t>
      </w:r>
      <w:r w:rsidRPr="00C76BED">
        <w:rPr>
          <w:rFonts w:ascii="Arial" w:eastAsia="Arial" w:hAnsi="Arial" w:cs="Arial"/>
          <w:color w:val="000000"/>
          <w:sz w:val="20"/>
          <w:lang w:eastAsia="es-CR"/>
        </w:rPr>
        <w:t xml:space="preserve"> de Víctor Pérez, al respecto señaló que: “</w:t>
      </w:r>
      <w:r w:rsidRPr="00C76BED">
        <w:rPr>
          <w:rFonts w:ascii="Arial" w:eastAsia="Arial" w:hAnsi="Arial" w:cs="Arial"/>
          <w:i/>
          <w:color w:val="000000"/>
          <w:sz w:val="20"/>
          <w:lang w:eastAsia="es-CR"/>
        </w:rPr>
        <w:t xml:space="preserve">El patrimonio es una abstracción y representa </w:t>
      </w:r>
      <w:proofErr w:type="spellStart"/>
      <w:r w:rsidRPr="00C76BED">
        <w:rPr>
          <w:rFonts w:ascii="Arial" w:eastAsia="Arial" w:hAnsi="Arial" w:cs="Arial"/>
          <w:i/>
          <w:color w:val="000000"/>
          <w:sz w:val="20"/>
          <w:lang w:eastAsia="es-CR"/>
        </w:rPr>
        <w:t>mas</w:t>
      </w:r>
      <w:proofErr w:type="spellEnd"/>
      <w:r w:rsidRPr="00C76BED">
        <w:rPr>
          <w:rFonts w:ascii="Arial" w:eastAsia="Arial" w:hAnsi="Arial" w:cs="Arial"/>
          <w:i/>
          <w:color w:val="000000"/>
          <w:sz w:val="20"/>
          <w:lang w:eastAsia="es-CR"/>
        </w:rPr>
        <w:t xml:space="preserve"> bien, la aptitud de poseer, es una consecuencia de la personalidad</w:t>
      </w:r>
      <w:r w:rsidRPr="00C76BED">
        <w:rPr>
          <w:rFonts w:ascii="Arial" w:eastAsia="Arial" w:hAnsi="Arial" w:cs="Arial"/>
          <w:color w:val="000000"/>
          <w:sz w:val="20"/>
          <w:lang w:eastAsia="es-CR"/>
        </w:rPr>
        <w:t xml:space="preserve">”. (Editorial </w:t>
      </w:r>
      <w:proofErr w:type="spellStart"/>
      <w:r w:rsidRPr="00C76BED">
        <w:rPr>
          <w:rFonts w:ascii="Arial" w:eastAsia="Arial" w:hAnsi="Arial" w:cs="Arial"/>
          <w:color w:val="000000"/>
          <w:sz w:val="20"/>
          <w:lang w:eastAsia="es-CR"/>
        </w:rPr>
        <w:lastRenderedPageBreak/>
        <w:t>Juricentro</w:t>
      </w:r>
      <w:proofErr w:type="spellEnd"/>
      <w:r w:rsidRPr="00C76BED">
        <w:rPr>
          <w:rFonts w:ascii="Arial" w:eastAsia="Arial" w:hAnsi="Arial" w:cs="Arial"/>
          <w:color w:val="000000"/>
          <w:sz w:val="20"/>
          <w:lang w:eastAsia="es-CR"/>
        </w:rPr>
        <w:t xml:space="preserve">, Tercera Edición, pp. 76). Asimismo, para completar la idea, el artículo 253 del Código Civil costarricense establece que los bienes consisten en cosas que jurídicamente son muebles o inmuebles, corporales o incorporales. </w:t>
      </w:r>
    </w:p>
    <w:p w14:paraId="5CB1EF87" w14:textId="77777777" w:rsidR="00C76BED" w:rsidRPr="00C76BED" w:rsidRDefault="00C76BED" w:rsidP="00C76BED">
      <w:pPr>
        <w:spacing w:after="525"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Por consiguiente, si tomamos en cuenta que la propiedad intelectual, ya sea como “</w:t>
      </w:r>
      <w:r w:rsidRPr="00C76BED">
        <w:rPr>
          <w:rFonts w:ascii="Arial" w:eastAsia="Arial" w:hAnsi="Arial" w:cs="Arial"/>
          <w:i/>
          <w:color w:val="000000"/>
          <w:sz w:val="20"/>
          <w:lang w:eastAsia="es-CR"/>
        </w:rPr>
        <w:t>derechos de autor</w:t>
      </w:r>
      <w:r w:rsidRPr="00C76BED">
        <w:rPr>
          <w:rFonts w:ascii="Arial" w:eastAsia="Arial" w:hAnsi="Arial" w:cs="Arial"/>
          <w:color w:val="000000"/>
          <w:sz w:val="20"/>
          <w:lang w:eastAsia="es-CR"/>
        </w:rPr>
        <w:t>” o “</w:t>
      </w:r>
      <w:r w:rsidRPr="00C76BED">
        <w:rPr>
          <w:rFonts w:ascii="Arial" w:eastAsia="Arial" w:hAnsi="Arial" w:cs="Arial"/>
          <w:i/>
          <w:color w:val="000000"/>
          <w:sz w:val="20"/>
          <w:lang w:eastAsia="es-CR"/>
        </w:rPr>
        <w:t>propiedad industrial</w:t>
      </w:r>
      <w:r w:rsidRPr="00C76BED">
        <w:rPr>
          <w:rFonts w:ascii="Arial" w:eastAsia="Arial" w:hAnsi="Arial" w:cs="Arial"/>
          <w:color w:val="000000"/>
          <w:sz w:val="20"/>
          <w:lang w:eastAsia="es-CR"/>
        </w:rPr>
        <w:t>”, según la concepción que al respecto ha realizado la propia Ley de Propiedad Intelectual, se distingue la vertiente personalísima de la propiedad intelectual en los derechos morales, siendo los derechos de explotación perfectamente transmisibles y sin duda fruto del trabajo del artista o creador/inventor. Desde ese punto de vista, los derechos con contenido económico generados durante el matrimonio, según entiendo, deberían ser gananciales.</w:t>
      </w:r>
    </w:p>
    <w:p w14:paraId="313EF1EC" w14:textId="77777777" w:rsidR="00C76BED" w:rsidRPr="00C76BED" w:rsidRDefault="00C76BED" w:rsidP="00C76BED">
      <w:pPr>
        <w:spacing w:after="0"/>
        <w:ind w:left="5" w:hanging="10"/>
        <w:rPr>
          <w:rFonts w:ascii="Arial" w:eastAsia="Arial" w:hAnsi="Arial" w:cs="Arial"/>
          <w:color w:val="000000"/>
          <w:sz w:val="20"/>
          <w:lang w:eastAsia="es-CR"/>
        </w:rPr>
      </w:pPr>
      <w:r w:rsidRPr="00C76BED">
        <w:rPr>
          <w:rFonts w:ascii="Arial" w:eastAsia="Arial" w:hAnsi="Arial" w:cs="Arial"/>
          <w:b/>
          <w:i/>
          <w:color w:val="000000"/>
          <w:sz w:val="26"/>
          <w:lang w:eastAsia="es-CR"/>
        </w:rPr>
        <w:t xml:space="preserve">4.- DERECHO DE AUTOR, </w:t>
      </w:r>
    </w:p>
    <w:p w14:paraId="56D3C971" w14:textId="77777777" w:rsidR="00C76BED" w:rsidRPr="00C76BED" w:rsidRDefault="00C76BED" w:rsidP="00C76BED">
      <w:pPr>
        <w:keepNext/>
        <w:keepLines/>
        <w:spacing w:after="201"/>
        <w:ind w:left="-1" w:right="1041" w:firstLine="36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 xml:space="preserve">CONTENIDO </w:t>
      </w:r>
      <w:proofErr w:type="gramStart"/>
      <w:r w:rsidRPr="00C76BED">
        <w:rPr>
          <w:rFonts w:ascii="Arial" w:eastAsia="Arial" w:hAnsi="Arial" w:cs="Arial"/>
          <w:b/>
          <w:i/>
          <w:color w:val="000000"/>
          <w:sz w:val="26"/>
          <w:lang w:eastAsia="es-CR"/>
        </w:rPr>
        <w:t xml:space="preserve">MORAL  </w:t>
      </w:r>
      <w:r w:rsidRPr="00C76BED">
        <w:rPr>
          <w:rFonts w:ascii="Arial" w:eastAsia="Arial" w:hAnsi="Arial" w:cs="Arial"/>
          <w:b/>
          <w:i/>
          <w:color w:val="000000"/>
          <w:sz w:val="26"/>
          <w:lang w:eastAsia="es-CR"/>
        </w:rPr>
        <w:tab/>
      </w:r>
      <w:proofErr w:type="gramEnd"/>
      <w:r w:rsidRPr="00C76BED">
        <w:rPr>
          <w:rFonts w:ascii="Arial" w:eastAsia="Arial" w:hAnsi="Arial" w:cs="Arial"/>
          <w:b/>
          <w:i/>
          <w:color w:val="000000"/>
          <w:sz w:val="26"/>
          <w:lang w:eastAsia="es-CR"/>
        </w:rPr>
        <w:t>y PATRIMONIAL</w:t>
      </w:r>
    </w:p>
    <w:p w14:paraId="15E3E4AC"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a.- Derecho de autor</w:t>
      </w:r>
    </w:p>
    <w:p w14:paraId="62C84E2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Nadie duda de que los derechos sobre las obras creadas con anterioridad al matrimonio pertenecen exclusivamente al autor, ni </w:t>
      </w:r>
      <w:proofErr w:type="gramStart"/>
      <w:r w:rsidRPr="00C76BED">
        <w:rPr>
          <w:rFonts w:ascii="Arial" w:eastAsia="Arial" w:hAnsi="Arial" w:cs="Arial"/>
          <w:color w:val="000000"/>
          <w:sz w:val="20"/>
          <w:lang w:eastAsia="es-CR"/>
        </w:rPr>
        <w:t>que</w:t>
      </w:r>
      <w:proofErr w:type="gramEnd"/>
      <w:r w:rsidRPr="00C76BED">
        <w:rPr>
          <w:rFonts w:ascii="Arial" w:eastAsia="Arial" w:hAnsi="Arial" w:cs="Arial"/>
          <w:color w:val="000000"/>
          <w:sz w:val="20"/>
          <w:lang w:eastAsia="es-CR"/>
        </w:rPr>
        <w:t xml:space="preserve"> gracias al derecho irrenunciable, como el personalísimo, inalienable y perpetuo, denominado derecho moral; el cual es independiente de los derechos patrimoniales, incluso después de su cesión, el autor conservará sobre la obra este derecho. Así, según lo determina el ARTÍCULO 13 de la </w:t>
      </w:r>
      <w:r w:rsidRPr="00C76BED">
        <w:rPr>
          <w:rFonts w:ascii="Arial" w:eastAsia="Arial" w:hAnsi="Arial" w:cs="Arial"/>
          <w:b/>
          <w:color w:val="000000"/>
          <w:sz w:val="20"/>
          <w:lang w:eastAsia="es-CR"/>
        </w:rPr>
        <w:t>Ley sobre Derechos de Autor y Derechos Conexos</w:t>
      </w:r>
      <w:r w:rsidRPr="00C76BED">
        <w:rPr>
          <w:rFonts w:ascii="Arial" w:eastAsia="Arial" w:hAnsi="Arial" w:cs="Arial"/>
          <w:color w:val="000000"/>
          <w:sz w:val="20"/>
          <w:lang w:eastAsia="es-CR"/>
        </w:rPr>
        <w:t xml:space="preserve">), son siempre privativos o “contrario sensu”, no son gananciales, incluso los correspondientes a las obras creadas durante el matrimonio. Lo conflictivo son los derechos de explotación generados a partir de entonces. </w:t>
      </w:r>
      <w:r w:rsidRPr="00C76BED">
        <w:rPr>
          <w:rFonts w:ascii="Arial" w:eastAsia="Arial" w:hAnsi="Arial" w:cs="Arial"/>
          <w:color w:val="000000"/>
          <w:sz w:val="20"/>
          <w:lang w:eastAsia="es-CR"/>
        </w:rPr>
        <w:t xml:space="preserve">A los fines de nuestro estudio nos interesa señalar cuál es el objeto del derecho de autor, ello por cuanto muchas veces cuando se habla de derechos intelectuales se piensa solamente en los derechos sobre la obra escrita, cuanto esta es solo una mínima parte de las obras que se consideran propiedad intelectual. </w:t>
      </w:r>
    </w:p>
    <w:p w14:paraId="396C47A7"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De esta forma, en doctrina se discute si el derecho de autor es uno solo o si existe un derecho de autor moral y un derecho patrimonial de autor; empero, en Costa Rica la Ley Sobre Derechos de Autor y derechos Conexos, en su artículo primero señala que “</w:t>
      </w:r>
      <w:r w:rsidRPr="00C76BED">
        <w:rPr>
          <w:rFonts w:ascii="Arial" w:eastAsia="Arial" w:hAnsi="Arial" w:cs="Arial"/>
          <w:i/>
          <w:color w:val="000000"/>
          <w:sz w:val="20"/>
          <w:lang w:eastAsia="es-CR"/>
        </w:rPr>
        <w:t>Los autores son los titulares de los derechos patrimoniales y morales sobre sus obras literarias o artísticas</w:t>
      </w:r>
      <w:r w:rsidRPr="00C76BED">
        <w:rPr>
          <w:rFonts w:ascii="Arial" w:eastAsia="Arial" w:hAnsi="Arial" w:cs="Arial"/>
          <w:color w:val="000000"/>
          <w:sz w:val="20"/>
          <w:lang w:eastAsia="es-CR"/>
        </w:rPr>
        <w:t>”, por lo que se infiere un solo derecho en dos acepciones: la moral y la patrimonial. En este sentido, podemos decir que la propiedad intelectual comprende dos aspectos: uno es el denominado DERECHO MORAL DEL AUTOR, que se configura por la potestad de decidir si la obra debe ser publicada o no, el derecho de reivindicar su paternidad si aparece sin su firma o es objeto de plagio falsificación o imitación, el de oponerse a las deformaciones o alteraciones que pudieran hacerse a la obra en su publicación, y el de modificarla; desde este punto de vista, el autor ejerce un derecho absoluto, intransferible y perpetuo. El otro aspecto es el PECUNIARIO, que se traduce en la facultad de disponer de la obra, publicarla, ejecutarla, representarla, adaptarla, etc. En este sentido la propiedad intelectual es enajenable y temporaria. En consecuencia, suele afirmarse que el derecho MORAL del autor, por su carácter personalísimo es necesariamente un bien PROPIO.</w:t>
      </w:r>
    </w:p>
    <w:p w14:paraId="0A059EB3" w14:textId="77777777" w:rsidR="00C76BED" w:rsidRPr="00C76BED" w:rsidRDefault="00C76BED" w:rsidP="00C76BED">
      <w:pPr>
        <w:spacing w:after="267" w:line="265" w:lineRule="auto"/>
        <w:ind w:left="5" w:hanging="10"/>
        <w:jc w:val="both"/>
        <w:rPr>
          <w:rFonts w:ascii="Arial" w:eastAsia="Arial" w:hAnsi="Arial" w:cs="Arial"/>
          <w:color w:val="000000"/>
          <w:sz w:val="20"/>
          <w:lang w:eastAsia="es-CR"/>
        </w:rPr>
      </w:pPr>
      <w:r w:rsidRPr="00C76BED">
        <w:rPr>
          <w:rFonts w:ascii="Arial" w:eastAsia="Arial" w:hAnsi="Arial" w:cs="Arial"/>
          <w:b/>
          <w:color w:val="000000"/>
          <w:sz w:val="20"/>
          <w:lang w:eastAsia="es-CR"/>
        </w:rPr>
        <w:t>b.- Contenido moral del derecho de autor</w:t>
      </w:r>
    </w:p>
    <w:p w14:paraId="14A5E204" w14:textId="77777777" w:rsidR="00C76BED" w:rsidRPr="00C76BED" w:rsidRDefault="00C76BED" w:rsidP="00C76BED">
      <w:pPr>
        <w:spacing w:after="5"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derecho moral comprende el “derecho de divulgación” “el derecho de paternidad” “el derecho al respeto y a la integralidad de la </w:t>
      </w:r>
      <w:r w:rsidRPr="00C76BED">
        <w:rPr>
          <w:rFonts w:ascii="Arial" w:eastAsia="Arial" w:hAnsi="Arial" w:cs="Arial"/>
          <w:color w:val="000000"/>
          <w:sz w:val="20"/>
          <w:lang w:eastAsia="es-CR"/>
        </w:rPr>
        <w:lastRenderedPageBreak/>
        <w:t xml:space="preserve">obra” y “el derecho de retracto o arrepentimiento”. Estos derechos pueden ser clasificados en positivos y negativos: son positivos el derecho de poner la obra en circulación (divulgación) y el derecho de retracto; mientras que se consideran negativos el derecho de paternidad, que es el derecho que tiene todo autor de ser conocido como el creador de una obra y que se ve claro en los autores que trabajan en relación de dependencia (como los periodistas o los que trabajan en empresas de software), quienes —cuando la creación es individual— tienen derecho a ser reconocidos como los autores de la obra; </w:t>
      </w:r>
      <w:proofErr w:type="spellStart"/>
      <w:r w:rsidRPr="00C76BED">
        <w:rPr>
          <w:rFonts w:ascii="Arial" w:eastAsia="Arial" w:hAnsi="Arial" w:cs="Arial"/>
          <w:color w:val="000000"/>
          <w:sz w:val="20"/>
          <w:lang w:eastAsia="es-CR"/>
        </w:rPr>
        <w:t>aún</w:t>
      </w:r>
      <w:proofErr w:type="spellEnd"/>
      <w:r w:rsidRPr="00C76BED">
        <w:rPr>
          <w:rFonts w:ascii="Arial" w:eastAsia="Arial" w:hAnsi="Arial" w:cs="Arial"/>
          <w:color w:val="000000"/>
          <w:sz w:val="20"/>
          <w:lang w:eastAsia="es-CR"/>
        </w:rPr>
        <w:t xml:space="preserve"> cuando trabajen a sueldo o </w:t>
      </w:r>
      <w:proofErr w:type="spellStart"/>
      <w:r w:rsidRPr="00C76BED">
        <w:rPr>
          <w:rFonts w:ascii="Arial" w:eastAsia="Arial" w:hAnsi="Arial" w:cs="Arial"/>
          <w:color w:val="000000"/>
          <w:sz w:val="20"/>
          <w:lang w:eastAsia="es-CR"/>
        </w:rPr>
        <w:t>aún</w:t>
      </w:r>
      <w:proofErr w:type="spellEnd"/>
      <w:r w:rsidRPr="00C76BED">
        <w:rPr>
          <w:rFonts w:ascii="Arial" w:eastAsia="Arial" w:hAnsi="Arial" w:cs="Arial"/>
          <w:color w:val="000000"/>
          <w:sz w:val="20"/>
          <w:lang w:eastAsia="es-CR"/>
        </w:rPr>
        <w:t xml:space="preserve"> cuando hayan cedido toda la parte patrimonial de su obra. (BORDA, Guillermo “Tratado de derecho Civil”, Derechos Reales, Abeledo Perrot, Buenos Aires, </w:t>
      </w:r>
    </w:p>
    <w:p w14:paraId="3ADC74A4"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1987, p. 534). </w:t>
      </w:r>
    </w:p>
    <w:p w14:paraId="36739278"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derecho moral del autor es considerado inalienable, irrenunciable e inembargable, inejecutable e inexpropiable a favor del autor </w:t>
      </w:r>
      <w:proofErr w:type="spellStart"/>
      <w:r w:rsidRPr="00C76BED">
        <w:rPr>
          <w:rFonts w:ascii="Arial" w:eastAsia="Arial" w:hAnsi="Arial" w:cs="Arial"/>
          <w:color w:val="000000"/>
          <w:sz w:val="20"/>
          <w:lang w:eastAsia="es-CR"/>
        </w:rPr>
        <w:t>mas</w:t>
      </w:r>
      <w:proofErr w:type="spellEnd"/>
      <w:r w:rsidRPr="00C76BED">
        <w:rPr>
          <w:rFonts w:ascii="Arial" w:eastAsia="Arial" w:hAnsi="Arial" w:cs="Arial"/>
          <w:color w:val="000000"/>
          <w:sz w:val="20"/>
          <w:lang w:eastAsia="es-CR"/>
        </w:rPr>
        <w:t xml:space="preserve"> allá de la negociación que hubiera efectuado de su obra, lo cual es considerado como normas absolutas e inherentes a las personas; por lo </w:t>
      </w:r>
      <w:proofErr w:type="gramStart"/>
      <w:r w:rsidRPr="00C76BED">
        <w:rPr>
          <w:rFonts w:ascii="Arial" w:eastAsia="Arial" w:hAnsi="Arial" w:cs="Arial"/>
          <w:color w:val="000000"/>
          <w:sz w:val="20"/>
          <w:lang w:eastAsia="es-CR"/>
        </w:rPr>
        <w:t>tanto</w:t>
      </w:r>
      <w:proofErr w:type="gramEnd"/>
      <w:r w:rsidRPr="00C76BED">
        <w:rPr>
          <w:rFonts w:ascii="Arial" w:eastAsia="Arial" w:hAnsi="Arial" w:cs="Arial"/>
          <w:color w:val="000000"/>
          <w:sz w:val="20"/>
          <w:lang w:eastAsia="es-CR"/>
        </w:rPr>
        <w:t xml:space="preserve"> inderogable por acuerdo de parte.</w:t>
      </w:r>
    </w:p>
    <w:p w14:paraId="0AC6C5BC"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En la Ley Sobre Derechos de Autor y Derechos Conexos, título I, capítulo II, numerales 13, 14 y 15, se establece que el derecho moral del autor sobre su obra lo es, independientemente de sus derechos patrimoniales, además de ser personalísimo, inalienable e irrenunciable y perpetuo. </w:t>
      </w:r>
    </w:p>
    <w:p w14:paraId="069C835C" w14:textId="77777777" w:rsidR="00C76BED" w:rsidRPr="00C76BED" w:rsidRDefault="00C76BED" w:rsidP="00C76BED">
      <w:pPr>
        <w:spacing w:after="267" w:line="265" w:lineRule="auto"/>
        <w:ind w:left="375" w:hanging="380"/>
        <w:jc w:val="both"/>
        <w:rPr>
          <w:rFonts w:ascii="Arial" w:eastAsia="Arial" w:hAnsi="Arial" w:cs="Arial"/>
          <w:color w:val="000000"/>
          <w:sz w:val="20"/>
          <w:lang w:eastAsia="es-CR"/>
        </w:rPr>
      </w:pPr>
      <w:r w:rsidRPr="00C76BED">
        <w:rPr>
          <w:rFonts w:ascii="Arial" w:eastAsia="Arial" w:hAnsi="Arial" w:cs="Arial"/>
          <w:b/>
          <w:color w:val="000000"/>
          <w:sz w:val="20"/>
          <w:lang w:eastAsia="es-CR"/>
        </w:rPr>
        <w:t>b. Contenido patrimonial del derecho de autor</w:t>
      </w:r>
    </w:p>
    <w:p w14:paraId="3D680D87" w14:textId="77777777" w:rsidR="00C76BED" w:rsidRPr="00C76BED" w:rsidRDefault="00C76BED" w:rsidP="00C76BED">
      <w:pPr>
        <w:spacing w:after="525"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contenido patrimonial del derecho de autor comprende toda forma de explotación patrimonial del derecho de autor, entre ellos la facultad de reproducción, en cualquiera de las </w:t>
      </w:r>
      <w:r w:rsidRPr="00C76BED">
        <w:rPr>
          <w:rFonts w:ascii="Arial" w:eastAsia="Arial" w:hAnsi="Arial" w:cs="Arial"/>
          <w:color w:val="000000"/>
          <w:sz w:val="20"/>
          <w:lang w:eastAsia="es-CR"/>
        </w:rPr>
        <w:t>múltiples formas posibles, por ejemplo, mediante la cesión parcial o total de la obra. También dentro de los derechos de autor se encuentra el derecho de comunicación pública, que se da por ejemplo mediante la autorización de exposición o de muestra de las obras pictóricas o escultóricas. En otras legislaciones forma parte del derecho patrimonial de autor el “</w:t>
      </w:r>
      <w:proofErr w:type="spellStart"/>
      <w:r w:rsidRPr="00C76BED">
        <w:rPr>
          <w:rFonts w:ascii="Arial" w:eastAsia="Arial" w:hAnsi="Arial" w:cs="Arial"/>
          <w:color w:val="000000"/>
          <w:sz w:val="20"/>
          <w:lang w:eastAsia="es-CR"/>
        </w:rPr>
        <w:t>droit</w:t>
      </w:r>
      <w:proofErr w:type="spellEnd"/>
      <w:r w:rsidRPr="00C76BED">
        <w:rPr>
          <w:rFonts w:ascii="Arial" w:eastAsia="Arial" w:hAnsi="Arial" w:cs="Arial"/>
          <w:color w:val="000000"/>
          <w:sz w:val="20"/>
          <w:lang w:eastAsia="es-CR"/>
        </w:rPr>
        <w:t xml:space="preserve"> de suite”, que es el derecho de recibir un porcentaje de las ganancias de sus obras originales siempre que se realice en pública subasta o a través de agentes comerciales. Este derecho tiende a proteger a los autores jóvenes que venden sus obras a muy bajo precio y después estas adquieren gran notoriedad y aumentan notablemente de precio sin que su creador perciba ningún beneficio. A partir de estos conceptos vamos a ver cuáles han sido las respuestas dadas por los tribunales al interrogante relativo al carácter del producido de los derechos de autor ante la disolución de la sociedad conyugal por muerte o divorcio. De la Ley 6683, en numerales que van del 16 al 19 inclusive, se establecen los derechos patrimoniales del autor sobre su obra. Ahí se determina entonces que al autor de la obra literaria o artística le corresponde el derecho exclusivo de utilizarla. </w:t>
      </w:r>
    </w:p>
    <w:p w14:paraId="5BDBDB38"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5. DERECHO COMPARADO</w:t>
      </w:r>
    </w:p>
    <w:p w14:paraId="1C75D1C2" w14:textId="77777777" w:rsidR="00C76BED" w:rsidRPr="00C76BED" w:rsidRDefault="00C76BED" w:rsidP="00C76BED">
      <w:pPr>
        <w:spacing w:after="267" w:line="265" w:lineRule="auto"/>
        <w:ind w:left="379" w:right="6" w:hanging="380"/>
        <w:jc w:val="both"/>
        <w:rPr>
          <w:rFonts w:ascii="Arial" w:eastAsia="Arial" w:hAnsi="Arial" w:cs="Arial"/>
          <w:color w:val="000000"/>
          <w:sz w:val="20"/>
          <w:lang w:eastAsia="es-CR"/>
        </w:rPr>
      </w:pPr>
      <w:r w:rsidRPr="00C76BED">
        <w:rPr>
          <w:rFonts w:ascii="Arial" w:eastAsia="Arial" w:hAnsi="Arial" w:cs="Arial"/>
          <w:b/>
          <w:color w:val="000000"/>
          <w:sz w:val="20"/>
          <w:lang w:eastAsia="es-CR"/>
        </w:rPr>
        <w:t xml:space="preserve">A.- CLÁSICOS JURISPRUDENCIALES </w:t>
      </w:r>
      <w:proofErr w:type="spellStart"/>
      <w:r w:rsidRPr="00C76BED">
        <w:rPr>
          <w:rFonts w:ascii="Arial" w:eastAsia="Arial" w:hAnsi="Arial" w:cs="Arial"/>
          <w:b/>
          <w:color w:val="000000"/>
          <w:sz w:val="20"/>
          <w:lang w:eastAsia="es-CR"/>
        </w:rPr>
        <w:t>fRANCESES</w:t>
      </w:r>
      <w:proofErr w:type="spellEnd"/>
    </w:p>
    <w:p w14:paraId="6EFCADDB"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EL CASO “LECOCK”</w:t>
      </w:r>
    </w:p>
    <w:p w14:paraId="6EA6951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LECOCK fue un músico célebre francés que escribió durante su matrimonio importantes obras. Cuando el músico se divorció de su esposa por culpa de su mujer, esta solicitó que las obras fueran consideradas gananciales. Sometida la cuestión a la decisión de los tribunales, la Corte de Apelación de París —</w:t>
      </w:r>
      <w:r w:rsidRPr="00C76BED">
        <w:rPr>
          <w:rFonts w:ascii="Arial" w:eastAsia="Arial" w:hAnsi="Arial" w:cs="Arial"/>
          <w:color w:val="000000"/>
          <w:sz w:val="20"/>
          <w:lang w:eastAsia="es-CR"/>
        </w:rPr>
        <w:lastRenderedPageBreak/>
        <w:t>contrariando la doctrina dominante en ese momento— decidió que el derecho de autor era de característica personal inherente a la personalidad del autor y que por lo tanto era propio. Esta sentencia fue revocada por la Corte de Casación que resolvió que las obras eran gananciales y que por lo tanto la esposa divorciada por su culpa, tenía derecho a la mitad de las obras de su marido.</w:t>
      </w:r>
    </w:p>
    <w:p w14:paraId="07B3120A"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CASO </w:t>
      </w:r>
      <w:proofErr w:type="spellStart"/>
      <w:r w:rsidRPr="00C76BED">
        <w:rPr>
          <w:rFonts w:ascii="Arial" w:eastAsia="Arial" w:hAnsi="Arial" w:cs="Arial"/>
          <w:b/>
          <w:color w:val="000000"/>
          <w:sz w:val="20"/>
          <w:lang w:eastAsia="es-CR"/>
        </w:rPr>
        <w:t>mERCIé</w:t>
      </w:r>
      <w:proofErr w:type="spellEnd"/>
    </w:p>
    <w:p w14:paraId="7BC7CC64"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célebre escultor </w:t>
      </w:r>
      <w:proofErr w:type="spellStart"/>
      <w:r w:rsidRPr="00C76BED">
        <w:rPr>
          <w:rFonts w:ascii="Arial" w:eastAsia="Arial" w:hAnsi="Arial" w:cs="Arial"/>
          <w:color w:val="000000"/>
          <w:sz w:val="20"/>
          <w:lang w:eastAsia="es-CR"/>
        </w:rPr>
        <w:t>Mercié</w:t>
      </w:r>
      <w:proofErr w:type="spellEnd"/>
      <w:r w:rsidRPr="00C76BED">
        <w:rPr>
          <w:rFonts w:ascii="Arial" w:eastAsia="Arial" w:hAnsi="Arial" w:cs="Arial"/>
          <w:color w:val="000000"/>
          <w:sz w:val="20"/>
          <w:lang w:eastAsia="es-CR"/>
        </w:rPr>
        <w:t xml:space="preserve">, casado, tuvo que reconocer a los herederos de su esposa, el derecho a la mitad de las obras creadas durante el matrimonio. </w:t>
      </w:r>
      <w:proofErr w:type="spellStart"/>
      <w:r w:rsidRPr="00C76BED">
        <w:rPr>
          <w:rFonts w:ascii="Arial" w:eastAsia="Arial" w:hAnsi="Arial" w:cs="Arial"/>
          <w:color w:val="000000"/>
          <w:sz w:val="20"/>
          <w:lang w:eastAsia="es-CR"/>
        </w:rPr>
        <w:t>Mercié</w:t>
      </w:r>
      <w:proofErr w:type="spellEnd"/>
      <w:r w:rsidRPr="00C76BED">
        <w:rPr>
          <w:rFonts w:ascii="Arial" w:eastAsia="Arial" w:hAnsi="Arial" w:cs="Arial"/>
          <w:color w:val="000000"/>
          <w:sz w:val="20"/>
          <w:lang w:eastAsia="es-CR"/>
        </w:rPr>
        <w:t xml:space="preserve"> contrajo nuevas nupcias que se disolvieron por divorcio. Tuvo que reconocer a su segunda esposa la mitad, de la mitad, que le había quedado. El autor solo conservó la cuarta parte del valor que había creado, y los extraños a él, que no eran sus herederos, ni su esposa, tuvieron las tres cuartas restantes.</w:t>
      </w:r>
    </w:p>
    <w:p w14:paraId="3AF91276" w14:textId="77777777" w:rsidR="00C76BED" w:rsidRPr="00C76BED" w:rsidRDefault="00C76BED" w:rsidP="00C76BED">
      <w:pPr>
        <w:spacing w:after="267" w:line="265" w:lineRule="auto"/>
        <w:ind w:left="379" w:right="832" w:hanging="380"/>
        <w:jc w:val="both"/>
        <w:rPr>
          <w:rFonts w:ascii="Arial" w:eastAsia="Arial" w:hAnsi="Arial" w:cs="Arial"/>
          <w:color w:val="000000"/>
          <w:sz w:val="20"/>
          <w:lang w:eastAsia="es-CR"/>
        </w:rPr>
      </w:pPr>
      <w:r w:rsidRPr="00C76BED">
        <w:rPr>
          <w:rFonts w:ascii="Arial" w:eastAsia="Arial" w:hAnsi="Arial" w:cs="Arial"/>
          <w:b/>
          <w:color w:val="000000"/>
          <w:sz w:val="20"/>
          <w:lang w:eastAsia="es-CR"/>
        </w:rPr>
        <w:t>b.</w:t>
      </w:r>
      <w:proofErr w:type="gramStart"/>
      <w:r w:rsidRPr="00C76BED">
        <w:rPr>
          <w:rFonts w:ascii="Arial" w:eastAsia="Arial" w:hAnsi="Arial" w:cs="Arial"/>
          <w:b/>
          <w:color w:val="000000"/>
          <w:sz w:val="20"/>
          <w:lang w:eastAsia="es-CR"/>
        </w:rPr>
        <w:t>-  CASO</w:t>
      </w:r>
      <w:proofErr w:type="gramEnd"/>
      <w:r w:rsidRPr="00C76BED">
        <w:rPr>
          <w:rFonts w:ascii="Arial" w:eastAsia="Arial" w:hAnsi="Arial" w:cs="Arial"/>
          <w:b/>
          <w:color w:val="000000"/>
          <w:sz w:val="20"/>
          <w:lang w:eastAsia="es-CR"/>
        </w:rPr>
        <w:t xml:space="preserve"> JURISPRUDENCIAL  EN LA </w:t>
      </w:r>
      <w:proofErr w:type="spellStart"/>
      <w:r w:rsidRPr="00C76BED">
        <w:rPr>
          <w:rFonts w:ascii="Arial" w:eastAsia="Arial" w:hAnsi="Arial" w:cs="Arial"/>
          <w:b/>
          <w:color w:val="000000"/>
          <w:sz w:val="20"/>
          <w:lang w:eastAsia="es-CR"/>
        </w:rPr>
        <w:t>ARgENTINA</w:t>
      </w:r>
      <w:proofErr w:type="spellEnd"/>
    </w:p>
    <w:p w14:paraId="004615B5"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EL CASO “ARLT</w:t>
      </w:r>
      <w:r w:rsidRPr="00C76BED">
        <w:rPr>
          <w:rFonts w:ascii="Arial" w:eastAsia="Arial" w:hAnsi="Arial" w:cs="Arial"/>
          <w:color w:val="000000"/>
          <w:sz w:val="20"/>
          <w:lang w:eastAsia="es-CR"/>
        </w:rPr>
        <w:t>”</w:t>
      </w:r>
    </w:p>
    <w:p w14:paraId="1BBB764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escritor Roberto Arlt, autor de numerosas novelas, cuentos, aguas fuertes (notas periodísticas) y piezas de teatro se casó en el año 1921 con </w:t>
      </w:r>
      <w:proofErr w:type="spellStart"/>
      <w:r w:rsidRPr="00C76BED">
        <w:rPr>
          <w:rFonts w:ascii="Arial" w:eastAsia="Arial" w:hAnsi="Arial" w:cs="Arial"/>
          <w:color w:val="000000"/>
          <w:sz w:val="20"/>
          <w:lang w:eastAsia="es-CR"/>
        </w:rPr>
        <w:t>Cármen</w:t>
      </w:r>
      <w:proofErr w:type="spellEnd"/>
      <w:r w:rsidRPr="00C76BED">
        <w:rPr>
          <w:rFonts w:ascii="Arial" w:eastAsia="Arial" w:hAnsi="Arial" w:cs="Arial"/>
          <w:color w:val="000000"/>
          <w:sz w:val="20"/>
          <w:lang w:eastAsia="es-CR"/>
        </w:rPr>
        <w:t xml:space="preserve">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con quien tuvo una hija —Electra M.— quien nació en 1923. En 1940 falleció </w:t>
      </w:r>
      <w:proofErr w:type="spellStart"/>
      <w:r w:rsidRPr="00C76BED">
        <w:rPr>
          <w:rFonts w:ascii="Arial" w:eastAsia="Arial" w:hAnsi="Arial" w:cs="Arial"/>
          <w:color w:val="000000"/>
          <w:sz w:val="20"/>
          <w:lang w:eastAsia="es-CR"/>
        </w:rPr>
        <w:t>Cármen</w:t>
      </w:r>
      <w:proofErr w:type="spellEnd"/>
      <w:r w:rsidRPr="00C76BED">
        <w:rPr>
          <w:rFonts w:ascii="Arial" w:eastAsia="Arial" w:hAnsi="Arial" w:cs="Arial"/>
          <w:color w:val="000000"/>
          <w:sz w:val="20"/>
          <w:lang w:eastAsia="es-CR"/>
        </w:rPr>
        <w:t xml:space="preserve">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y Roberto Arlt se casó en 1942 con Elizabeth </w:t>
      </w:r>
      <w:proofErr w:type="spellStart"/>
      <w:r w:rsidRPr="00C76BED">
        <w:rPr>
          <w:rFonts w:ascii="Arial" w:eastAsia="Arial" w:hAnsi="Arial" w:cs="Arial"/>
          <w:color w:val="000000"/>
          <w:sz w:val="20"/>
          <w:lang w:eastAsia="es-CR"/>
        </w:rPr>
        <w:t>Shine</w:t>
      </w:r>
      <w:proofErr w:type="spellEnd"/>
      <w:r w:rsidRPr="00C76BED">
        <w:rPr>
          <w:rFonts w:ascii="Arial" w:eastAsia="Arial" w:hAnsi="Arial" w:cs="Arial"/>
          <w:color w:val="000000"/>
          <w:sz w:val="20"/>
          <w:lang w:eastAsia="es-CR"/>
        </w:rPr>
        <w:t xml:space="preserve">, con quien tuvo un hijo póstumo llamado Roberto. En octubre de 1942 falleció Arlt y su hija inició el juicio sucesorio. El único haber del sucesorio era la obra literaria del escritor que había sido realizada en su casi totalidad durante la vigencia de la primera sociedad conyugal. La segunda esposa y su hijo sostuvieron que todos los derechos de autor eran bienes propios de Roberto Arlt, a </w:t>
      </w:r>
      <w:r w:rsidRPr="00C76BED">
        <w:rPr>
          <w:rFonts w:ascii="Arial" w:eastAsia="Arial" w:hAnsi="Arial" w:cs="Arial"/>
          <w:color w:val="000000"/>
          <w:sz w:val="20"/>
          <w:lang w:eastAsia="es-CR"/>
        </w:rPr>
        <w:t>repartirse por partes iguales entre sus tres herederos; mientras que la hija del primer matrimonio consideraba que la mitad de los derechos intelectuales de las obras editadas durante la vigencia de la sociedad conyugal Arlt-</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forman el acervo hereditario de la sucesión de su madre, por tratarse de bienes de carácter ganancial, siendo, en consecuencia, la única beneficiaria en su condición de hija de la premuerta y que la otra mitad entra en la sucesión de su padre que también se integra sobre las obras cuya primera edición se realizó después de la celebración del segundo matrimonio, perteneciendo la segunda mitad de este grupo de obras a la señora </w:t>
      </w:r>
      <w:proofErr w:type="spellStart"/>
      <w:r w:rsidRPr="00C76BED">
        <w:rPr>
          <w:rFonts w:ascii="Arial" w:eastAsia="Arial" w:hAnsi="Arial" w:cs="Arial"/>
          <w:color w:val="000000"/>
          <w:sz w:val="20"/>
          <w:lang w:eastAsia="es-CR"/>
        </w:rPr>
        <w:t>Shine</w:t>
      </w:r>
      <w:proofErr w:type="spellEnd"/>
      <w:r w:rsidRPr="00C76BED">
        <w:rPr>
          <w:rFonts w:ascii="Arial" w:eastAsia="Arial" w:hAnsi="Arial" w:cs="Arial"/>
          <w:color w:val="000000"/>
          <w:sz w:val="20"/>
          <w:lang w:eastAsia="es-CR"/>
        </w:rPr>
        <w:t xml:space="preserve"> de Arlt como gananciales en su calidad de socia de la última sociedad conyugal. En primera instancia se decidió que el derecho de autor era un bien propio y que los beneficios obtenidos por la explotación de las obras intelectuales como frutos de los bienes propios pertenecen a la sociedad conyugal y, en consecuencia, dio la razón a lo sostenido por la segunda cónyuge y su hijo (Sala A Cámara Nacional en lo Civil de la Capital E.D. 16-634 y LL 124-533). Por otro lado, la Cámara de Apelaciones consideró que la mitad de los derechos intelectuales de las obras de Roberto Arlt editadas durante la vigencia de la primera sociedad conyugal forman el acervo hereditario de la sucesión de </w:t>
      </w:r>
      <w:proofErr w:type="spellStart"/>
      <w:r w:rsidRPr="00C76BED">
        <w:rPr>
          <w:rFonts w:ascii="Arial" w:eastAsia="Arial" w:hAnsi="Arial" w:cs="Arial"/>
          <w:color w:val="000000"/>
          <w:sz w:val="20"/>
          <w:lang w:eastAsia="es-CR"/>
        </w:rPr>
        <w:t>Cármen</w:t>
      </w:r>
      <w:proofErr w:type="spellEnd"/>
      <w:r w:rsidRPr="00C76BED">
        <w:rPr>
          <w:rFonts w:ascii="Arial" w:eastAsia="Arial" w:hAnsi="Arial" w:cs="Arial"/>
          <w:color w:val="000000"/>
          <w:sz w:val="20"/>
          <w:lang w:eastAsia="es-CR"/>
        </w:rPr>
        <w:t xml:space="preserve">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de Arlt y que la otra mitad entra en la sucesión de Roberto Arlt. El Tribunal dijo que: </w:t>
      </w:r>
    </w:p>
    <w:p w14:paraId="01B4699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Pese a la especial naturaleza jurídica del derecho intelectual y a la interdependencia que existe entre el derecho moral y el pecuniario, una vez que la obra —por su publicación, representación, etc.— ha ingresado al ámbito patrimonial, con la posibilidad jurídica de su enajenación a terceros por medio de su cesión, no puede desconocerse que, de acuerdo con nuestro régimen legal de la sociedad conyugal, en </w:t>
      </w:r>
      <w:r w:rsidRPr="00C76BED">
        <w:rPr>
          <w:rFonts w:ascii="Arial" w:eastAsia="Arial" w:hAnsi="Arial" w:cs="Arial"/>
          <w:color w:val="000000"/>
          <w:sz w:val="20"/>
          <w:lang w:eastAsia="es-CR"/>
        </w:rPr>
        <w:lastRenderedPageBreak/>
        <w:t xml:space="preserve">principio es un bien que entra dentro de la categoría de los gananciales. Nada hay en nuestra ley que se oponga a que el derecho de propiedad intelectual ingrese como ganancial en la sociedad conyugal. Por el contrario, autoriza su inclusión en esa comunidad no sólo al admitir expresamente la negociabilidad del derecho de autor, sino, asimismo, porque tal propiedad se rige también por las disposiciones del derecho común en cuanto no se opongan a las condiciones y limitaciones establecidas por la ley 11723. </w:t>
      </w:r>
    </w:p>
    <w:p w14:paraId="014497A3"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Dentro de la normativa del Código Civil de Argentina, establece el inciso o) del numeral 457</w:t>
      </w:r>
      <w:r w:rsidRPr="00C76BED">
        <w:rPr>
          <w:rFonts w:ascii="Arial" w:eastAsia="Arial" w:hAnsi="Arial" w:cs="Arial"/>
          <w:b/>
          <w:color w:val="000000"/>
          <w:sz w:val="20"/>
          <w:lang w:eastAsia="es-CR"/>
        </w:rPr>
        <w:t xml:space="preserve"> </w:t>
      </w:r>
      <w:r w:rsidRPr="00C76BED">
        <w:rPr>
          <w:rFonts w:ascii="Arial" w:eastAsia="Arial" w:hAnsi="Arial" w:cs="Arial"/>
          <w:color w:val="000000"/>
          <w:sz w:val="20"/>
          <w:lang w:eastAsia="es-CR"/>
        </w:rPr>
        <w:t xml:space="preserve">que son bienes propios de cada uno de los cónyuges la propiedad intelectual, artística o industrial, si la obra intelectual ha sido publicada o interpretada por primera vez, la obra artística ha sido concluida, o el invento, la marca o el diseño industrial han sido patentados o registrados antes del comienzo de la comunidad. Dentro del mismo cuerpo legal, en el inciso a) del artículo 458, se dice que son bienes gananciales, los creados, adquiridos por título oneroso o comenzados a poseer durante la comunidad por uno u otro de los cónyuges, o por ambos en conjunto, siempre que no estén incluidos en la enunciación del artículo anterior. En su párrafo </w:t>
      </w:r>
      <w:proofErr w:type="spellStart"/>
      <w:r w:rsidRPr="00C76BED">
        <w:rPr>
          <w:rFonts w:ascii="Arial" w:eastAsia="Arial" w:hAnsi="Arial" w:cs="Arial"/>
          <w:color w:val="000000"/>
          <w:sz w:val="20"/>
          <w:lang w:eastAsia="es-CR"/>
        </w:rPr>
        <w:t>infine</w:t>
      </w:r>
      <w:proofErr w:type="spellEnd"/>
      <w:r w:rsidRPr="00C76BED">
        <w:rPr>
          <w:rFonts w:ascii="Arial" w:eastAsia="Arial" w:hAnsi="Arial" w:cs="Arial"/>
          <w:color w:val="000000"/>
          <w:sz w:val="20"/>
          <w:lang w:eastAsia="es-CR"/>
        </w:rPr>
        <w:t>, este inciso manifiesta que el derecho moral sobre la obra intelectual es siempre personal del autor.</w:t>
      </w:r>
    </w:p>
    <w:p w14:paraId="3F79F566" w14:textId="77777777" w:rsidR="00C76BED" w:rsidRPr="00C76BED" w:rsidRDefault="00C76BED" w:rsidP="00C76BED">
      <w:pPr>
        <w:keepNext/>
        <w:keepLines/>
        <w:spacing w:after="267" w:line="265" w:lineRule="auto"/>
        <w:ind w:left="379" w:right="6" w:hanging="38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C.- </w:t>
      </w:r>
      <w:proofErr w:type="spellStart"/>
      <w:r w:rsidRPr="00C76BED">
        <w:rPr>
          <w:rFonts w:ascii="Arial" w:eastAsia="Arial" w:hAnsi="Arial" w:cs="Arial"/>
          <w:b/>
          <w:color w:val="000000"/>
          <w:sz w:val="20"/>
          <w:lang w:eastAsia="es-CR"/>
        </w:rPr>
        <w:t>NORmATIVA</w:t>
      </w:r>
      <w:proofErr w:type="spellEnd"/>
      <w:r w:rsidRPr="00C76BED">
        <w:rPr>
          <w:rFonts w:ascii="Arial" w:eastAsia="Arial" w:hAnsi="Arial" w:cs="Arial"/>
          <w:b/>
          <w:color w:val="000000"/>
          <w:sz w:val="20"/>
          <w:lang w:eastAsia="es-CR"/>
        </w:rPr>
        <w:t xml:space="preserve"> y CRITERIO JURISDICCIONAL DE </w:t>
      </w:r>
      <w:proofErr w:type="spellStart"/>
      <w:r w:rsidRPr="00C76BED">
        <w:rPr>
          <w:rFonts w:ascii="Arial" w:eastAsia="Arial" w:hAnsi="Arial" w:cs="Arial"/>
          <w:b/>
          <w:color w:val="000000"/>
          <w:sz w:val="20"/>
          <w:lang w:eastAsia="es-CR"/>
        </w:rPr>
        <w:t>ESPAñA</w:t>
      </w:r>
      <w:proofErr w:type="spellEnd"/>
    </w:p>
    <w:p w14:paraId="44C828D5"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En el CAPÍTULO IV DE LA SOCIEDAD DE GANANCIALES, SECCIÓN PRIMERA, DISPOSICIONES GENERALES, </w:t>
      </w:r>
      <w:r w:rsidRPr="00C76BED">
        <w:rPr>
          <w:rFonts w:ascii="Arial" w:eastAsia="Arial" w:hAnsi="Arial" w:cs="Arial"/>
          <w:b/>
          <w:color w:val="000000"/>
          <w:sz w:val="20"/>
          <w:lang w:eastAsia="es-CR"/>
        </w:rPr>
        <w:t>Artículo 1344 del Código Civil Español, dice que m</w:t>
      </w:r>
      <w:r w:rsidRPr="00C76BED">
        <w:rPr>
          <w:rFonts w:ascii="Arial" w:eastAsia="Arial" w:hAnsi="Arial" w:cs="Arial"/>
          <w:color w:val="000000"/>
          <w:sz w:val="20"/>
          <w:lang w:eastAsia="es-CR"/>
        </w:rPr>
        <w:t xml:space="preserve">ediante la sociedad de gananciales se hacen comunes para los cónyuges las ganancias o beneficios obtenidos indistintamente por cualquiera de ellos, que les serán atribuidos </w:t>
      </w:r>
      <w:r w:rsidRPr="00C76BED">
        <w:rPr>
          <w:rFonts w:ascii="Arial" w:eastAsia="Arial" w:hAnsi="Arial" w:cs="Arial"/>
          <w:color w:val="000000"/>
          <w:sz w:val="20"/>
          <w:lang w:eastAsia="es-CR"/>
        </w:rPr>
        <w:t xml:space="preserve">por mitad al disolverse aquella. Por su parte el numeral </w:t>
      </w:r>
      <w:r w:rsidRPr="00C76BED">
        <w:rPr>
          <w:rFonts w:ascii="Arial" w:eastAsia="Arial" w:hAnsi="Arial" w:cs="Arial"/>
          <w:b/>
          <w:color w:val="000000"/>
          <w:sz w:val="20"/>
          <w:lang w:eastAsia="es-CR"/>
        </w:rPr>
        <w:t>1345 del mismo cuerpo legal, dice que l</w:t>
      </w:r>
      <w:r w:rsidRPr="00C76BED">
        <w:rPr>
          <w:rFonts w:ascii="Arial" w:eastAsia="Arial" w:hAnsi="Arial" w:cs="Arial"/>
          <w:color w:val="000000"/>
          <w:sz w:val="20"/>
          <w:lang w:eastAsia="es-CR"/>
        </w:rPr>
        <w:t xml:space="preserve">a sociedad de gananciales empezará en el momento de la celebración del matrimonio o, posteriormente, al tiempo de pactarse en capitulaciones; lo que en concordancia con el numeral 1346 inciso 5) </w:t>
      </w:r>
      <w:proofErr w:type="spellStart"/>
      <w:r w:rsidRPr="00C76BED">
        <w:rPr>
          <w:rFonts w:ascii="Arial" w:eastAsia="Arial" w:hAnsi="Arial" w:cs="Arial"/>
          <w:color w:val="000000"/>
          <w:sz w:val="20"/>
          <w:lang w:eastAsia="es-CR"/>
        </w:rPr>
        <w:t>ibídem</w:t>
      </w:r>
      <w:proofErr w:type="spellEnd"/>
      <w:r w:rsidRPr="00C76BED">
        <w:rPr>
          <w:rFonts w:ascii="Arial" w:eastAsia="Arial" w:hAnsi="Arial" w:cs="Arial"/>
          <w:color w:val="000000"/>
          <w:sz w:val="20"/>
          <w:lang w:eastAsia="es-CR"/>
        </w:rPr>
        <w:t>, el cual establece que serán privativos “</w:t>
      </w:r>
      <w:r w:rsidRPr="00C76BED">
        <w:rPr>
          <w:rFonts w:ascii="Arial" w:eastAsia="Arial" w:hAnsi="Arial" w:cs="Arial"/>
          <w:i/>
          <w:color w:val="000000"/>
          <w:sz w:val="20"/>
          <w:lang w:eastAsia="es-CR"/>
        </w:rPr>
        <w:t>los bienes y derechos patrimoniales inherentes a la persona y los no transmisibles inter vivos</w:t>
      </w:r>
      <w:r w:rsidRPr="00C76BED">
        <w:rPr>
          <w:rFonts w:ascii="Arial" w:eastAsia="Arial" w:hAnsi="Arial" w:cs="Arial"/>
          <w:color w:val="000000"/>
          <w:sz w:val="20"/>
          <w:lang w:eastAsia="es-CR"/>
        </w:rPr>
        <w:t xml:space="preserve">”; por lo tanto, resulta atendible pensar que los derechos patrimoniales derivados del derecho de propiedad intelectual, sean como derechos de autor o de propiedad industrial, podrían someterse dentro del régimen de </w:t>
      </w:r>
      <w:proofErr w:type="spellStart"/>
      <w:r w:rsidRPr="00C76BED">
        <w:rPr>
          <w:rFonts w:ascii="Arial" w:eastAsia="Arial" w:hAnsi="Arial" w:cs="Arial"/>
          <w:color w:val="000000"/>
          <w:sz w:val="20"/>
          <w:lang w:eastAsia="es-CR"/>
        </w:rPr>
        <w:t>gananciabilidad</w:t>
      </w:r>
      <w:proofErr w:type="spellEnd"/>
      <w:r w:rsidRPr="00C76BED">
        <w:rPr>
          <w:rFonts w:ascii="Arial" w:eastAsia="Arial" w:hAnsi="Arial" w:cs="Arial"/>
          <w:color w:val="000000"/>
          <w:sz w:val="20"/>
          <w:lang w:eastAsia="es-CR"/>
        </w:rPr>
        <w:t xml:space="preserve">. </w:t>
      </w:r>
    </w:p>
    <w:p w14:paraId="4DD357D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Según la perspectiva romántica del derecho de autor, en el que la obra es el resultado de una creación individual y personalísima, parece imposible separar la vertiente económica de los derechos morales. </w:t>
      </w:r>
    </w:p>
    <w:p w14:paraId="3FDE5CA7"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Sin embargo, en sentencia número 147/2007 de la Audiencia Provincial de Madrid, dictada por la Sala de lo Civil, Sección 25, que en lo conducente dijo: </w:t>
      </w:r>
    </w:p>
    <w:p w14:paraId="5095425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Carácter privativo o ganancial que tienen los derechos patrimoniales de autor. El planteamiento doctrinal favorable a la inclusión del componente patrimonial de los derechos de autor en la masa ganancial alude a la específica previsión del 1346.5 Código Civil. No se trata de reproducir una escisión entre componente moral y patrimonial del derecho de autor y centrar este segundo aspecto en su afectación ganancial por contener una posible cuantificación económica. Cuando se concreta un derecho como patrimonial y se vincula a la persona es porque a la actividad exclusivamente creativa se añade aquella otra trascendencia económica porque de lo contrario la norma no habría calificado el derecho inherente a la persona […]</w:t>
      </w:r>
    </w:p>
    <w:p w14:paraId="091DFA7E"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lastRenderedPageBreak/>
        <w:t>Se colige entre líneas que se refiere a la titularidad del derecho, no así, sobre los rendimientos de estos a la hora de su explotación, puesto que no se discute el que sean gananciales. No obstante, no estoy de acuerdo con ese criterio y creo que es una interpretación forzada de una norma que en realidad no está pensada para la propiedad intelectual sino para otro tipo de percepciones que se obtienen en interés la persona y no derivan de su trabajo (determinadas indemnizaciones y pensiones), y que es consecuencia de un planteamiento de la propiedad intelectual centrado excesivamente en el autor y no en la explotación de los derechos.</w:t>
      </w:r>
    </w:p>
    <w:p w14:paraId="5E1F57D0"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D.-EN COSTA RICA </w:t>
      </w:r>
    </w:p>
    <w:p w14:paraId="7378AE8F"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Como único antecedente del Tribunal de Familia, en proceso ordinario de liquidación anticipada, se determinó en primera instancia que: </w:t>
      </w:r>
    </w:p>
    <w:p w14:paraId="77CDA8A5"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los siguientes bienes muebles son gananciales: 1) […] 6) tres cuadros, […] 25) un cuadro […]”. En segunda instancia el Tribunal resolvió que: “III.- La demandada se mostró inconforme con la declaratoria de ganancialidad de algunos bienes muebles. Su cuestionamiento es el siguiente: “[…] b) El declarado como 6: “tres cuadros” y 25: “un cuadro”, por cuanto los mismos son de mi autoría, lo que consta en las mismas y en consecuencia son</w:t>
      </w:r>
      <w:r w:rsidRPr="00C76BED">
        <w:rPr>
          <w:rFonts w:ascii="Arial" w:eastAsia="Arial" w:hAnsi="Arial" w:cs="Arial"/>
          <w:b/>
          <w:color w:val="000000"/>
          <w:sz w:val="20"/>
          <w:lang w:eastAsia="es-CR"/>
        </w:rPr>
        <w:t xml:space="preserve"> </w:t>
      </w:r>
      <w:r w:rsidRPr="00C76BED">
        <w:rPr>
          <w:rFonts w:ascii="Arial" w:eastAsia="Arial" w:hAnsi="Arial" w:cs="Arial"/>
          <w:color w:val="000000"/>
          <w:sz w:val="20"/>
          <w:lang w:eastAsia="es-CR"/>
        </w:rPr>
        <w:t xml:space="preserve">propiedad intelectual personal mía, no pueden ser bienes gananciales […] Finalmente, con relación a los cuatro cuadros que fueron declarados como gananciales en los puntos 6) y 25), la prueba recabada en el proceso demuestra que no fueron obras adquiridas por causa onerosa, sino que fueron pintados por la demandada. En tal sentido, al ser de su autoría, son de su exclusiva propiedad […] (VOTO 245-06 del TRIBUNAL DE FAMILIA a las nueve horas </w:t>
      </w:r>
      <w:r w:rsidRPr="00C76BED">
        <w:rPr>
          <w:rFonts w:ascii="Arial" w:eastAsia="Arial" w:hAnsi="Arial" w:cs="Arial"/>
          <w:color w:val="000000"/>
          <w:sz w:val="20"/>
          <w:lang w:eastAsia="es-CR"/>
        </w:rPr>
        <w:t xml:space="preserve">cuarenta minutos del ocho de marzo del año dos mil seis). </w:t>
      </w:r>
    </w:p>
    <w:p w14:paraId="27CBB628"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 xml:space="preserve">6. SOLUCIONES </w:t>
      </w:r>
      <w:proofErr w:type="gramStart"/>
      <w:r w:rsidRPr="00C76BED">
        <w:rPr>
          <w:rFonts w:ascii="Arial" w:eastAsia="Arial" w:hAnsi="Arial" w:cs="Arial"/>
          <w:b/>
          <w:i/>
          <w:color w:val="000000"/>
          <w:sz w:val="26"/>
          <w:lang w:eastAsia="es-CR"/>
        </w:rPr>
        <w:t>POSIBLES  A</w:t>
      </w:r>
      <w:proofErr w:type="gramEnd"/>
      <w:r w:rsidRPr="00C76BED">
        <w:rPr>
          <w:rFonts w:ascii="Arial" w:eastAsia="Arial" w:hAnsi="Arial" w:cs="Arial"/>
          <w:b/>
          <w:i/>
          <w:color w:val="000000"/>
          <w:sz w:val="26"/>
          <w:lang w:eastAsia="es-CR"/>
        </w:rPr>
        <w:t xml:space="preserve"> LA CALIFICACIÓN  DE LOS DERECHOS  DE AUTOR. </w:t>
      </w:r>
      <w:proofErr w:type="gramStart"/>
      <w:r w:rsidRPr="00C76BED">
        <w:rPr>
          <w:rFonts w:ascii="Arial" w:eastAsia="Arial" w:hAnsi="Arial" w:cs="Arial"/>
          <w:b/>
          <w:i/>
          <w:color w:val="000000"/>
          <w:sz w:val="26"/>
          <w:lang w:eastAsia="es-CR"/>
        </w:rPr>
        <w:t>EFECTOS  y</w:t>
      </w:r>
      <w:proofErr w:type="gramEnd"/>
      <w:r w:rsidRPr="00C76BED">
        <w:rPr>
          <w:rFonts w:ascii="Arial" w:eastAsia="Arial" w:hAnsi="Arial" w:cs="Arial"/>
          <w:b/>
          <w:i/>
          <w:color w:val="000000"/>
          <w:sz w:val="26"/>
          <w:lang w:eastAsia="es-CR"/>
        </w:rPr>
        <w:t xml:space="preserve"> CONSECUENCIAS</w:t>
      </w:r>
    </w:p>
    <w:p w14:paraId="4D17EBE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Nos proponemos analizar cuáles son las posibles soluciones al problema de la naturaleza de los derechos de autor.</w:t>
      </w:r>
    </w:p>
    <w:p w14:paraId="29C0FE4A"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A. </w:t>
      </w:r>
      <w:proofErr w:type="spellStart"/>
      <w:r w:rsidRPr="00C76BED">
        <w:rPr>
          <w:rFonts w:ascii="Arial" w:eastAsia="Arial" w:hAnsi="Arial" w:cs="Arial"/>
          <w:b/>
          <w:color w:val="000000"/>
          <w:sz w:val="20"/>
          <w:lang w:eastAsia="es-CR"/>
        </w:rPr>
        <w:t>DEREChO</w:t>
      </w:r>
      <w:proofErr w:type="spellEnd"/>
      <w:r w:rsidRPr="00C76BED">
        <w:rPr>
          <w:rFonts w:ascii="Arial" w:eastAsia="Arial" w:hAnsi="Arial" w:cs="Arial"/>
          <w:b/>
          <w:color w:val="000000"/>
          <w:sz w:val="20"/>
          <w:lang w:eastAsia="es-CR"/>
        </w:rPr>
        <w:t xml:space="preserve"> DE AUTOR ES PROPIO</w:t>
      </w:r>
    </w:p>
    <w:p w14:paraId="6BE837C5"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Dentro de una posición extrema se puede sostener que el derecho de autor es siempre propio, en toda su extensión, tanto en su faz personal, como en su faz patrimonial. Esto tendría las siguientes consecuencias en un régimen de comunidad de bienes obligatorios como es el que prima en nuestro país:</w:t>
      </w:r>
    </w:p>
    <w:p w14:paraId="46B06711" w14:textId="77777777" w:rsidR="00C76BED" w:rsidRPr="00C76BED" w:rsidRDefault="00C76BED" w:rsidP="00C76BED">
      <w:pPr>
        <w:numPr>
          <w:ilvl w:val="0"/>
          <w:numId w:val="4"/>
        </w:numPr>
        <w:spacing w:after="267" w:line="265" w:lineRule="auto"/>
        <w:ind w:right="2"/>
        <w:jc w:val="both"/>
        <w:rPr>
          <w:rFonts w:ascii="Arial" w:eastAsia="Arial" w:hAnsi="Arial" w:cs="Arial"/>
          <w:color w:val="000000"/>
          <w:sz w:val="20"/>
          <w:lang w:eastAsia="es-CR"/>
        </w:rPr>
      </w:pPr>
      <w:r w:rsidRPr="00C76BED">
        <w:rPr>
          <w:rFonts w:ascii="Arial" w:eastAsia="Arial" w:hAnsi="Arial" w:cs="Arial"/>
          <w:b/>
          <w:color w:val="000000"/>
          <w:sz w:val="20"/>
          <w:lang w:eastAsia="es-CR"/>
        </w:rPr>
        <w:t>Durante la vigencia del matrimonio</w:t>
      </w:r>
    </w:p>
    <w:p w14:paraId="786EE398"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El producido de los derechos de autor estaría siempre bajo la órbita de administración y disposición de su titular, y los bienes que se compraran con su producido tendrían el carácter de propio.</w:t>
      </w:r>
    </w:p>
    <w:p w14:paraId="511E380D" w14:textId="77777777" w:rsidR="00C76BED" w:rsidRPr="00C76BED" w:rsidRDefault="00C76BED" w:rsidP="00C76BED">
      <w:pPr>
        <w:numPr>
          <w:ilvl w:val="0"/>
          <w:numId w:val="4"/>
        </w:numPr>
        <w:spacing w:after="267" w:line="265" w:lineRule="auto"/>
        <w:ind w:right="2"/>
        <w:jc w:val="both"/>
        <w:rPr>
          <w:rFonts w:ascii="Arial" w:eastAsia="Arial" w:hAnsi="Arial" w:cs="Arial"/>
          <w:color w:val="000000"/>
          <w:sz w:val="20"/>
          <w:lang w:eastAsia="es-CR"/>
        </w:rPr>
      </w:pPr>
      <w:r w:rsidRPr="00C76BED">
        <w:rPr>
          <w:rFonts w:ascii="Arial" w:eastAsia="Arial" w:hAnsi="Arial" w:cs="Arial"/>
          <w:b/>
          <w:color w:val="000000"/>
          <w:sz w:val="20"/>
          <w:lang w:eastAsia="es-CR"/>
        </w:rPr>
        <w:t>Al momento de la disolución del matrimonio, por divorcio</w:t>
      </w:r>
    </w:p>
    <w:p w14:paraId="0F59320D"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Los derechos de autor no serían partidos al momento de la disolución del matrimonio; así como tampoco se partirían los bienes que ingresasen al matrimonio por compra con el producido de los derechos de autor, porque estos tendrían el mismo carácter propio que aquellos. (FASSI, Santiago-BOSSERT, Gustavo “Sociedad conyugal”, T. 1, pág. 365).</w:t>
      </w:r>
    </w:p>
    <w:p w14:paraId="6BE1E2B4" w14:textId="77777777" w:rsidR="00C76BED" w:rsidRPr="00C76BED" w:rsidRDefault="00C76BED" w:rsidP="00C76BED">
      <w:pPr>
        <w:numPr>
          <w:ilvl w:val="0"/>
          <w:numId w:val="4"/>
        </w:numPr>
        <w:spacing w:after="267" w:line="265" w:lineRule="auto"/>
        <w:ind w:right="2"/>
        <w:jc w:val="both"/>
        <w:rPr>
          <w:rFonts w:ascii="Arial" w:eastAsia="Arial" w:hAnsi="Arial" w:cs="Arial"/>
          <w:color w:val="000000"/>
          <w:sz w:val="20"/>
          <w:lang w:eastAsia="es-CR"/>
        </w:rPr>
      </w:pPr>
      <w:r w:rsidRPr="00C76BED">
        <w:rPr>
          <w:rFonts w:ascii="Arial" w:eastAsia="Arial" w:hAnsi="Arial" w:cs="Arial"/>
          <w:b/>
          <w:color w:val="000000"/>
          <w:sz w:val="20"/>
          <w:lang w:eastAsia="es-CR"/>
        </w:rPr>
        <w:lastRenderedPageBreak/>
        <w:t>Al momento de la disolución por muerte</w:t>
      </w:r>
    </w:p>
    <w:p w14:paraId="53C3064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Si quien muere es el cónyuge del autor de la obra, los derechos de autor no entrarían en la sucesión ya que no tiene ningún derecho sobre ellos. Si quien muere es el autor, por ser un bien propio, el cónyuge y los hijos tendrían derechos hereditarios sobre ellos con la extensión y en los límites señalados por la ley de propiedad industrial.</w:t>
      </w:r>
    </w:p>
    <w:p w14:paraId="7BD3D6FB"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b. </w:t>
      </w:r>
      <w:proofErr w:type="spellStart"/>
      <w:r w:rsidRPr="00C76BED">
        <w:rPr>
          <w:rFonts w:ascii="Arial" w:eastAsia="Arial" w:hAnsi="Arial" w:cs="Arial"/>
          <w:b/>
          <w:color w:val="000000"/>
          <w:sz w:val="20"/>
          <w:lang w:eastAsia="es-CR"/>
        </w:rPr>
        <w:t>DEREChO</w:t>
      </w:r>
      <w:proofErr w:type="spellEnd"/>
      <w:r w:rsidRPr="00C76BED">
        <w:rPr>
          <w:rFonts w:ascii="Arial" w:eastAsia="Arial" w:hAnsi="Arial" w:cs="Arial"/>
          <w:b/>
          <w:color w:val="000000"/>
          <w:sz w:val="20"/>
          <w:lang w:eastAsia="es-CR"/>
        </w:rPr>
        <w:t xml:space="preserve"> DE AUTOR ES </w:t>
      </w:r>
      <w:proofErr w:type="spellStart"/>
      <w:r w:rsidRPr="00C76BED">
        <w:rPr>
          <w:rFonts w:ascii="Arial" w:eastAsia="Arial" w:hAnsi="Arial" w:cs="Arial"/>
          <w:b/>
          <w:color w:val="000000"/>
          <w:sz w:val="20"/>
          <w:lang w:eastAsia="es-CR"/>
        </w:rPr>
        <w:t>gANANCIAL</w:t>
      </w:r>
      <w:proofErr w:type="spellEnd"/>
    </w:p>
    <w:p w14:paraId="08EB668E"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La otra postura extrema parte de considerar que el derecho de autor es en principio ganancial, lo que tiene las siguientes consecuencias</w:t>
      </w:r>
      <w:r w:rsidRPr="00C76BED">
        <w:rPr>
          <w:rFonts w:ascii="Arial" w:eastAsia="Arial" w:hAnsi="Arial" w:cs="Arial"/>
          <w:b/>
          <w:color w:val="000000"/>
          <w:sz w:val="20"/>
          <w:lang w:eastAsia="es-CR"/>
        </w:rPr>
        <w:t>.</w:t>
      </w:r>
    </w:p>
    <w:p w14:paraId="49CA035E" w14:textId="77777777" w:rsidR="00C76BED" w:rsidRPr="00C76BED" w:rsidRDefault="00C76BED" w:rsidP="00C76BED">
      <w:pPr>
        <w:spacing w:after="267" w:line="265" w:lineRule="auto"/>
        <w:ind w:left="5" w:hanging="10"/>
        <w:jc w:val="both"/>
        <w:rPr>
          <w:rFonts w:ascii="Arial" w:eastAsia="Arial" w:hAnsi="Arial" w:cs="Arial"/>
          <w:color w:val="000000"/>
          <w:sz w:val="20"/>
          <w:lang w:eastAsia="es-CR"/>
        </w:rPr>
      </w:pPr>
      <w:r w:rsidRPr="00C76BED">
        <w:rPr>
          <w:rFonts w:ascii="Arial" w:eastAsia="Arial" w:hAnsi="Arial" w:cs="Arial"/>
          <w:b/>
          <w:color w:val="000000"/>
          <w:sz w:val="20"/>
          <w:lang w:eastAsia="es-CR"/>
        </w:rPr>
        <w:t>a. Durante la vigencia del matrimonio</w:t>
      </w:r>
    </w:p>
    <w:p w14:paraId="65F00650"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Todo lo que ingrese por derecho de autor es ganancial y en consecuencia los bienes comprados con el producido del derecho de autor son también gananciales.</w:t>
      </w:r>
    </w:p>
    <w:p w14:paraId="442F0ABF"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b. A la disolución por divorcio</w:t>
      </w:r>
    </w:p>
    <w:p w14:paraId="5BBC1980"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A la disolución por divorcio, toda la propiedad intelectual del autor debería ser partida por igual con su cónyuge, quien además tendría derecho al 50% del producido de los derechos de autor que se hubieran realizado durante la vigencia del matrimonio. Así por ejemplo si durante la vigencia del matrimonio se escribió un libro que se vendió durante 30 años posteriores a la disolución del matrimonio, la cónyuge (culpable o inocente) tiene derecho al 50% del producido de la venta, durante las 3 décadas posteriores a la separación. Si la cónyuge se vuelve a casar el producido del derecho de autor y la obra de su ex cónyuge entra como bien propio a la nueva sociedad conyugal, y si la ex cónyuge muere el nuevo marido y la descendencia del segundo </w:t>
      </w:r>
      <w:r w:rsidRPr="00C76BED">
        <w:rPr>
          <w:rFonts w:ascii="Arial" w:eastAsia="Arial" w:hAnsi="Arial" w:cs="Arial"/>
          <w:color w:val="000000"/>
          <w:sz w:val="20"/>
          <w:lang w:eastAsia="es-CR"/>
        </w:rPr>
        <w:t>matrimonio heredan el producido de los derechos de autor del primer marido.</w:t>
      </w:r>
    </w:p>
    <w:p w14:paraId="5A2B34B7" w14:textId="77777777" w:rsidR="00C76BED" w:rsidRPr="00C76BED" w:rsidRDefault="00C76BED" w:rsidP="00C76BED">
      <w:pPr>
        <w:keepNext/>
        <w:keepLines/>
        <w:spacing w:after="267" w:line="265" w:lineRule="auto"/>
        <w:ind w:left="9" w:right="6" w:hanging="10"/>
        <w:jc w:val="both"/>
        <w:outlineLvl w:val="4"/>
        <w:rPr>
          <w:rFonts w:ascii="Arial" w:eastAsia="Arial" w:hAnsi="Arial" w:cs="Arial"/>
          <w:b/>
          <w:i/>
          <w:color w:val="000000"/>
          <w:sz w:val="20"/>
          <w:lang w:eastAsia="es-CR"/>
        </w:rPr>
      </w:pPr>
      <w:r w:rsidRPr="00C76BED">
        <w:rPr>
          <w:rFonts w:ascii="Arial" w:eastAsia="Arial" w:hAnsi="Arial" w:cs="Arial"/>
          <w:b/>
          <w:color w:val="000000"/>
          <w:sz w:val="20"/>
          <w:lang w:eastAsia="es-CR"/>
        </w:rPr>
        <w:t>c. Consecuencias</w:t>
      </w:r>
    </w:p>
    <w:p w14:paraId="46923BED"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La postura de la ganancialidad irrestricta admite las siguientes críticas:</w:t>
      </w:r>
    </w:p>
    <w:p w14:paraId="7311DF11" w14:textId="77777777" w:rsidR="00C76BED" w:rsidRPr="00C76BED" w:rsidRDefault="00C76BED" w:rsidP="00C76BED">
      <w:pPr>
        <w:numPr>
          <w:ilvl w:val="0"/>
          <w:numId w:val="5"/>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Genera </w:t>
      </w:r>
      <w:proofErr w:type="spellStart"/>
      <w:r w:rsidRPr="00C76BED">
        <w:rPr>
          <w:rFonts w:ascii="Arial" w:eastAsia="Arial" w:hAnsi="Arial" w:cs="Arial"/>
          <w:color w:val="000000"/>
          <w:sz w:val="20"/>
          <w:lang w:eastAsia="es-CR"/>
        </w:rPr>
        <w:t>incovenientes</w:t>
      </w:r>
      <w:proofErr w:type="spellEnd"/>
      <w:r w:rsidRPr="00C76BED">
        <w:rPr>
          <w:rFonts w:ascii="Arial" w:eastAsia="Arial" w:hAnsi="Arial" w:cs="Arial"/>
          <w:color w:val="000000"/>
          <w:sz w:val="20"/>
          <w:lang w:eastAsia="es-CR"/>
        </w:rPr>
        <w:t xml:space="preserve"> el aceptar una copropiedad sobre los derechos de autor entre el autor y la cónyuge o los herederos de esta y los derechos morales del autor, los que no son transmisibles en vida del autor. </w:t>
      </w:r>
    </w:p>
    <w:p w14:paraId="0FA78591" w14:textId="77777777" w:rsidR="00C76BED" w:rsidRPr="00C76BED" w:rsidRDefault="00C76BED" w:rsidP="00C76BED">
      <w:pPr>
        <w:numPr>
          <w:ilvl w:val="0"/>
          <w:numId w:val="5"/>
        </w:numPr>
        <w:spacing w:after="525"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Aparece como injusto que la culpable o no del divorcio reciba la mitad de los derechos de autor de su ex cónyuge máxime cuando no colabora a generarlo. Esta crítica también es relativa porque no es una injusticia frente a los derechos de autor sino producida por el régimen ganancial, porque al igual que el autor debe dividir el producido de su obra con su ex cónyuge del divorcio, también debe hacer lo mismo el empresario exitoso o el profesional laborioso. Aunque también esta crítica admite una réplica el derecho de autor, no es igual al trabajo común, las consecuencias de este no son inherentes al ser humano sino solo a los autores y a que en este está involucrada la personalidad misma del autor, su pensamiento y su fama creadora, por lo que resulta inaceptable que sea totalmente ganancial.</w:t>
      </w:r>
    </w:p>
    <w:p w14:paraId="28BBBEDB" w14:textId="77777777" w:rsidR="00C76BED" w:rsidRPr="00C76BED" w:rsidRDefault="00C76BED" w:rsidP="00C76BED">
      <w:pPr>
        <w:keepNext/>
        <w:keepLines/>
        <w:spacing w:after="201"/>
        <w:ind w:left="359" w:right="449" w:hanging="36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lastRenderedPageBreak/>
        <w:t>7. INTERPRETACIONES INTERMEDIAS</w:t>
      </w:r>
    </w:p>
    <w:p w14:paraId="45958D5B" w14:textId="77777777" w:rsidR="00C76BED" w:rsidRPr="00C76BED" w:rsidRDefault="00C76BED" w:rsidP="00C76BED">
      <w:pPr>
        <w:keepNext/>
        <w:keepLines/>
        <w:spacing w:after="267" w:line="265" w:lineRule="auto"/>
        <w:ind w:left="379" w:right="6" w:hanging="38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A. CONSIDERAR </w:t>
      </w:r>
      <w:proofErr w:type="spellStart"/>
      <w:r w:rsidRPr="00C76BED">
        <w:rPr>
          <w:rFonts w:ascii="Arial" w:eastAsia="Arial" w:hAnsi="Arial" w:cs="Arial"/>
          <w:b/>
          <w:color w:val="000000"/>
          <w:sz w:val="20"/>
          <w:lang w:eastAsia="es-CR"/>
        </w:rPr>
        <w:t>gANANCIALES</w:t>
      </w:r>
      <w:proofErr w:type="spellEnd"/>
      <w:r w:rsidRPr="00C76BED">
        <w:rPr>
          <w:rFonts w:ascii="Arial" w:eastAsia="Arial" w:hAnsi="Arial" w:cs="Arial"/>
          <w:b/>
          <w:color w:val="000000"/>
          <w:sz w:val="20"/>
          <w:lang w:eastAsia="es-CR"/>
        </w:rPr>
        <w:t xml:space="preserve"> A LOS </w:t>
      </w:r>
      <w:proofErr w:type="spellStart"/>
      <w:r w:rsidRPr="00C76BED">
        <w:rPr>
          <w:rFonts w:ascii="Arial" w:eastAsia="Arial" w:hAnsi="Arial" w:cs="Arial"/>
          <w:b/>
          <w:color w:val="000000"/>
          <w:sz w:val="20"/>
          <w:lang w:eastAsia="es-CR"/>
        </w:rPr>
        <w:t>DEREChOS</w:t>
      </w:r>
      <w:proofErr w:type="spellEnd"/>
      <w:r w:rsidRPr="00C76BED">
        <w:rPr>
          <w:rFonts w:ascii="Arial" w:eastAsia="Arial" w:hAnsi="Arial" w:cs="Arial"/>
          <w:b/>
          <w:color w:val="000000"/>
          <w:sz w:val="20"/>
          <w:lang w:eastAsia="es-CR"/>
        </w:rPr>
        <w:t xml:space="preserve"> DE </w:t>
      </w:r>
      <w:proofErr w:type="gramStart"/>
      <w:r w:rsidRPr="00C76BED">
        <w:rPr>
          <w:rFonts w:ascii="Arial" w:eastAsia="Arial" w:hAnsi="Arial" w:cs="Arial"/>
          <w:b/>
          <w:color w:val="000000"/>
          <w:sz w:val="20"/>
          <w:lang w:eastAsia="es-CR"/>
        </w:rPr>
        <w:t>AUTOR</w:t>
      </w:r>
      <w:proofErr w:type="gramEnd"/>
      <w:r w:rsidRPr="00C76BED">
        <w:rPr>
          <w:rFonts w:ascii="Arial" w:eastAsia="Arial" w:hAnsi="Arial" w:cs="Arial"/>
          <w:b/>
          <w:color w:val="000000"/>
          <w:sz w:val="20"/>
          <w:lang w:eastAsia="es-CR"/>
        </w:rPr>
        <w:t xml:space="preserve"> PERO </w:t>
      </w:r>
      <w:proofErr w:type="spellStart"/>
      <w:r w:rsidRPr="00C76BED">
        <w:rPr>
          <w:rFonts w:ascii="Arial" w:eastAsia="Arial" w:hAnsi="Arial" w:cs="Arial"/>
          <w:b/>
          <w:color w:val="000000"/>
          <w:sz w:val="20"/>
          <w:lang w:eastAsia="es-CR"/>
        </w:rPr>
        <w:t>ATRIbUIbLES</w:t>
      </w:r>
      <w:proofErr w:type="spellEnd"/>
      <w:r w:rsidRPr="00C76BED">
        <w:rPr>
          <w:rFonts w:ascii="Arial" w:eastAsia="Arial" w:hAnsi="Arial" w:cs="Arial"/>
          <w:b/>
          <w:color w:val="000000"/>
          <w:sz w:val="20"/>
          <w:lang w:eastAsia="es-CR"/>
        </w:rPr>
        <w:t xml:space="preserve"> EN LA </w:t>
      </w:r>
      <w:proofErr w:type="spellStart"/>
      <w:r w:rsidRPr="00C76BED">
        <w:rPr>
          <w:rFonts w:ascii="Arial" w:eastAsia="Arial" w:hAnsi="Arial" w:cs="Arial"/>
          <w:b/>
          <w:color w:val="000000"/>
          <w:sz w:val="20"/>
          <w:lang w:eastAsia="es-CR"/>
        </w:rPr>
        <w:t>PARTICIóN</w:t>
      </w:r>
      <w:proofErr w:type="spellEnd"/>
      <w:r w:rsidRPr="00C76BED">
        <w:rPr>
          <w:rFonts w:ascii="Arial" w:eastAsia="Arial" w:hAnsi="Arial" w:cs="Arial"/>
          <w:b/>
          <w:color w:val="000000"/>
          <w:sz w:val="20"/>
          <w:lang w:eastAsia="es-CR"/>
        </w:rPr>
        <w:t xml:space="preserve"> AL AUTOR</w:t>
      </w:r>
    </w:p>
    <w:p w14:paraId="155CC5E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Los sostenedores de la ganancialidad como principio no pueden dejar de advertir los conflictos que esta produce en lo relativo a los derechos morales del autor y por ello proponen que los derechos de autor sean considerados gananciales, pero que en la partición sean atribuidos al cónyuge propietario y que este se obligue a indemnizar al otro cónyuge. Esta tesis se basa en </w:t>
      </w:r>
      <w:proofErr w:type="gramStart"/>
      <w:r w:rsidRPr="00C76BED">
        <w:rPr>
          <w:rFonts w:ascii="Arial" w:eastAsia="Arial" w:hAnsi="Arial" w:cs="Arial"/>
          <w:color w:val="000000"/>
          <w:sz w:val="20"/>
          <w:lang w:eastAsia="es-CR"/>
        </w:rPr>
        <w:t>que</w:t>
      </w:r>
      <w:proofErr w:type="gramEnd"/>
      <w:r w:rsidRPr="00C76BED">
        <w:rPr>
          <w:rFonts w:ascii="Arial" w:eastAsia="Arial" w:hAnsi="Arial" w:cs="Arial"/>
          <w:color w:val="000000"/>
          <w:sz w:val="20"/>
          <w:lang w:eastAsia="es-CR"/>
        </w:rPr>
        <w:t xml:space="preserve"> por la atención a la naturaleza compleja de los derechos intelectuales, se haría inconveniente mantener un desdoblamiento de su titularidad; en caso de sobrevivir el cónyuge autor (</w:t>
      </w:r>
      <w:r w:rsidRPr="00C76BED">
        <w:rPr>
          <w:rFonts w:ascii="Arial" w:eastAsia="Arial" w:hAnsi="Arial" w:cs="Arial"/>
          <w:i/>
          <w:color w:val="000000"/>
          <w:sz w:val="20"/>
          <w:lang w:eastAsia="es-CR"/>
        </w:rPr>
        <w:t xml:space="preserve">supuestos de divorcio, </w:t>
      </w:r>
      <w:proofErr w:type="spellStart"/>
      <w:r w:rsidRPr="00C76BED">
        <w:rPr>
          <w:rFonts w:ascii="Arial" w:eastAsia="Arial" w:hAnsi="Arial" w:cs="Arial"/>
          <w:i/>
          <w:color w:val="000000"/>
          <w:sz w:val="20"/>
          <w:lang w:eastAsia="es-CR"/>
        </w:rPr>
        <w:t>premuerte</w:t>
      </w:r>
      <w:proofErr w:type="spellEnd"/>
      <w:r w:rsidRPr="00C76BED">
        <w:rPr>
          <w:rFonts w:ascii="Arial" w:eastAsia="Arial" w:hAnsi="Arial" w:cs="Arial"/>
          <w:i/>
          <w:color w:val="000000"/>
          <w:sz w:val="20"/>
          <w:lang w:eastAsia="es-CR"/>
        </w:rPr>
        <w:t xml:space="preserve"> del otro cónyuge, etc.</w:t>
      </w:r>
      <w:r w:rsidRPr="00C76BED">
        <w:rPr>
          <w:rFonts w:ascii="Arial" w:eastAsia="Arial" w:hAnsi="Arial" w:cs="Arial"/>
          <w:color w:val="000000"/>
          <w:sz w:val="20"/>
          <w:lang w:eastAsia="es-CR"/>
        </w:rPr>
        <w:t>) es aconsejable adjudicar la totalidad del derecho intelectual a quien ya le corresponde la titularidad de su contenido moral, o sea al creador de la obra. Deberá pagar indemnización por el contenido pecuniario que pertenecía a la comunidad que se liquida. En virtud de esta regla especial, fundada en la naturaleza compleja de los derechos intelectuales, estos quedarían exceptuados del principio de división en especie.</w:t>
      </w:r>
    </w:p>
    <w:p w14:paraId="23222E8E"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b. CONSIDERAR QUE EL </w:t>
      </w:r>
      <w:proofErr w:type="spellStart"/>
      <w:r w:rsidRPr="00C76BED">
        <w:rPr>
          <w:rFonts w:ascii="Arial" w:eastAsia="Arial" w:hAnsi="Arial" w:cs="Arial"/>
          <w:b/>
          <w:color w:val="000000"/>
          <w:sz w:val="20"/>
          <w:lang w:eastAsia="es-CR"/>
        </w:rPr>
        <w:t>DEREChO</w:t>
      </w:r>
      <w:proofErr w:type="spellEnd"/>
      <w:r w:rsidRPr="00C76BED">
        <w:rPr>
          <w:rFonts w:ascii="Arial" w:eastAsia="Arial" w:hAnsi="Arial" w:cs="Arial"/>
          <w:b/>
          <w:color w:val="000000"/>
          <w:sz w:val="20"/>
          <w:lang w:eastAsia="es-CR"/>
        </w:rPr>
        <w:t xml:space="preserve"> DE AUTOR ES PROPIO y QUE LO PRODUCIDO POR ESTE ES GANANCIAL, SALVO LA </w:t>
      </w:r>
      <w:proofErr w:type="spellStart"/>
      <w:r w:rsidRPr="00C76BED">
        <w:rPr>
          <w:rFonts w:ascii="Arial" w:eastAsia="Arial" w:hAnsi="Arial" w:cs="Arial"/>
          <w:b/>
          <w:color w:val="000000"/>
          <w:sz w:val="20"/>
          <w:lang w:eastAsia="es-CR"/>
        </w:rPr>
        <w:t>ENAJENACIóN</w:t>
      </w:r>
      <w:proofErr w:type="spellEnd"/>
      <w:r w:rsidRPr="00C76BED">
        <w:rPr>
          <w:rFonts w:ascii="Arial" w:eastAsia="Arial" w:hAnsi="Arial" w:cs="Arial"/>
          <w:b/>
          <w:color w:val="000000"/>
          <w:sz w:val="20"/>
          <w:lang w:eastAsia="es-CR"/>
        </w:rPr>
        <w:t xml:space="preserve"> TOTAL DE LA </w:t>
      </w:r>
      <w:proofErr w:type="spellStart"/>
      <w:r w:rsidRPr="00C76BED">
        <w:rPr>
          <w:rFonts w:ascii="Arial" w:eastAsia="Arial" w:hAnsi="Arial" w:cs="Arial"/>
          <w:b/>
          <w:color w:val="000000"/>
          <w:sz w:val="20"/>
          <w:lang w:eastAsia="es-CR"/>
        </w:rPr>
        <w:t>ObRA</w:t>
      </w:r>
      <w:proofErr w:type="spellEnd"/>
      <w:r w:rsidRPr="00C76BED">
        <w:rPr>
          <w:rFonts w:ascii="Arial" w:eastAsia="Arial" w:hAnsi="Arial" w:cs="Arial"/>
          <w:b/>
          <w:color w:val="000000"/>
          <w:sz w:val="20"/>
          <w:lang w:eastAsia="es-CR"/>
        </w:rPr>
        <w:t xml:space="preserve"> QUE SE </w:t>
      </w:r>
      <w:proofErr w:type="spellStart"/>
      <w:r w:rsidRPr="00C76BED">
        <w:rPr>
          <w:rFonts w:ascii="Arial" w:eastAsia="Arial" w:hAnsi="Arial" w:cs="Arial"/>
          <w:b/>
          <w:color w:val="000000"/>
          <w:sz w:val="20"/>
          <w:lang w:eastAsia="es-CR"/>
        </w:rPr>
        <w:t>SUbROgA</w:t>
      </w:r>
      <w:proofErr w:type="spellEnd"/>
      <w:r w:rsidRPr="00C76BED">
        <w:rPr>
          <w:rFonts w:ascii="Arial" w:eastAsia="Arial" w:hAnsi="Arial" w:cs="Arial"/>
          <w:b/>
          <w:color w:val="000000"/>
          <w:sz w:val="20"/>
          <w:lang w:eastAsia="es-CR"/>
        </w:rPr>
        <w:t xml:space="preserve"> EN EL </w:t>
      </w:r>
      <w:proofErr w:type="spellStart"/>
      <w:r w:rsidRPr="00C76BED">
        <w:rPr>
          <w:rFonts w:ascii="Arial" w:eastAsia="Arial" w:hAnsi="Arial" w:cs="Arial"/>
          <w:b/>
          <w:color w:val="000000"/>
          <w:sz w:val="20"/>
          <w:lang w:eastAsia="es-CR"/>
        </w:rPr>
        <w:t>DEREChO</w:t>
      </w:r>
      <w:proofErr w:type="spellEnd"/>
      <w:r w:rsidRPr="00C76BED">
        <w:rPr>
          <w:rFonts w:ascii="Arial" w:eastAsia="Arial" w:hAnsi="Arial" w:cs="Arial"/>
          <w:b/>
          <w:color w:val="000000"/>
          <w:sz w:val="20"/>
          <w:lang w:eastAsia="es-CR"/>
        </w:rPr>
        <w:t xml:space="preserve"> DE AUTOR y TIENE POR ENDE </w:t>
      </w:r>
      <w:proofErr w:type="spellStart"/>
      <w:r w:rsidRPr="00C76BED">
        <w:rPr>
          <w:rFonts w:ascii="Arial" w:eastAsia="Arial" w:hAnsi="Arial" w:cs="Arial"/>
          <w:b/>
          <w:color w:val="000000"/>
          <w:sz w:val="20"/>
          <w:lang w:eastAsia="es-CR"/>
        </w:rPr>
        <w:t>CARACTERíSTICAS</w:t>
      </w:r>
      <w:proofErr w:type="spellEnd"/>
      <w:r w:rsidRPr="00C76BED">
        <w:rPr>
          <w:rFonts w:ascii="Arial" w:eastAsia="Arial" w:hAnsi="Arial" w:cs="Arial"/>
          <w:b/>
          <w:color w:val="000000"/>
          <w:sz w:val="20"/>
          <w:lang w:eastAsia="es-CR"/>
        </w:rPr>
        <w:t xml:space="preserve"> PROPIAS</w:t>
      </w:r>
    </w:p>
    <w:p w14:paraId="7160B10F"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Esta es la tesis que fue sostenida en el derecho argentino por Bibiloni y continuada por Borda en la actualidad. Parte de </w:t>
      </w:r>
      <w:r w:rsidRPr="00C76BED">
        <w:rPr>
          <w:rFonts w:ascii="Arial" w:eastAsia="Arial" w:hAnsi="Arial" w:cs="Arial"/>
          <w:color w:val="000000"/>
          <w:sz w:val="20"/>
          <w:lang w:eastAsia="es-CR"/>
        </w:rPr>
        <w:t>considerar que el derecho de autor es uno solo aun cuando tiene connotaciones morales y patrimoniales, donde lo ingresado durante la vigencia del matrimonio es ganancial, pero si la obra se vende completamente esta se subroga en el bien que es propio y por ende el precio es propio.</w:t>
      </w:r>
    </w:p>
    <w:p w14:paraId="2575847C" w14:textId="77777777" w:rsidR="00C76BED" w:rsidRPr="00C76BED" w:rsidRDefault="00C76BED" w:rsidP="00C76BED">
      <w:pPr>
        <w:spacing w:after="263" w:line="264"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Esta teoría parte de considerar que el monopolio de la explotación está unido al creador de la obra y que, por ende, si se vende </w:t>
      </w:r>
      <w:proofErr w:type="spellStart"/>
      <w:r w:rsidRPr="00C76BED">
        <w:rPr>
          <w:rFonts w:ascii="Arial" w:eastAsia="Arial" w:hAnsi="Arial" w:cs="Arial"/>
          <w:color w:val="000000"/>
          <w:sz w:val="20"/>
          <w:lang w:eastAsia="es-CR"/>
        </w:rPr>
        <w:t>esta</w:t>
      </w:r>
      <w:proofErr w:type="spellEnd"/>
      <w:r w:rsidRPr="00C76BED">
        <w:rPr>
          <w:rFonts w:ascii="Arial" w:eastAsia="Arial" w:hAnsi="Arial" w:cs="Arial"/>
          <w:color w:val="000000"/>
          <w:sz w:val="20"/>
          <w:lang w:eastAsia="es-CR"/>
        </w:rPr>
        <w:t xml:space="preserve"> en su totalidad, es propia. </w:t>
      </w:r>
    </w:p>
    <w:p w14:paraId="28686297" w14:textId="77777777" w:rsidR="00C76BED" w:rsidRPr="00C76BED" w:rsidRDefault="00C76BED" w:rsidP="00C76BED">
      <w:pPr>
        <w:spacing w:after="5" w:line="265" w:lineRule="auto"/>
        <w:ind w:left="379" w:right="6" w:hanging="380"/>
        <w:jc w:val="both"/>
        <w:rPr>
          <w:rFonts w:ascii="Arial" w:eastAsia="Arial" w:hAnsi="Arial" w:cs="Arial"/>
          <w:color w:val="000000"/>
          <w:sz w:val="20"/>
          <w:lang w:eastAsia="es-CR"/>
        </w:rPr>
      </w:pPr>
      <w:r w:rsidRPr="00C76BED">
        <w:rPr>
          <w:rFonts w:ascii="Arial" w:eastAsia="Arial" w:hAnsi="Arial" w:cs="Arial"/>
          <w:b/>
          <w:color w:val="000000"/>
          <w:sz w:val="20"/>
          <w:lang w:eastAsia="es-CR"/>
        </w:rPr>
        <w:t xml:space="preserve">C.  </w:t>
      </w:r>
      <w:proofErr w:type="spellStart"/>
      <w:r w:rsidRPr="00C76BED">
        <w:rPr>
          <w:rFonts w:ascii="Arial" w:eastAsia="Arial" w:hAnsi="Arial" w:cs="Arial"/>
          <w:b/>
          <w:color w:val="000000"/>
          <w:sz w:val="20"/>
          <w:lang w:eastAsia="es-CR"/>
        </w:rPr>
        <w:t>TEORíA</w:t>
      </w:r>
      <w:proofErr w:type="spellEnd"/>
      <w:r w:rsidRPr="00C76BED">
        <w:rPr>
          <w:rFonts w:ascii="Arial" w:eastAsia="Arial" w:hAnsi="Arial" w:cs="Arial"/>
          <w:b/>
          <w:color w:val="000000"/>
          <w:sz w:val="20"/>
          <w:lang w:eastAsia="es-CR"/>
        </w:rPr>
        <w:t xml:space="preserve"> QUE </w:t>
      </w:r>
      <w:proofErr w:type="spellStart"/>
      <w:r w:rsidRPr="00C76BED">
        <w:rPr>
          <w:rFonts w:ascii="Arial" w:eastAsia="Arial" w:hAnsi="Arial" w:cs="Arial"/>
          <w:b/>
          <w:color w:val="000000"/>
          <w:sz w:val="20"/>
          <w:lang w:eastAsia="es-CR"/>
        </w:rPr>
        <w:t>ESTImA</w:t>
      </w:r>
      <w:proofErr w:type="spellEnd"/>
      <w:r w:rsidRPr="00C76BED">
        <w:rPr>
          <w:rFonts w:ascii="Arial" w:eastAsia="Arial" w:hAnsi="Arial" w:cs="Arial"/>
          <w:b/>
          <w:color w:val="000000"/>
          <w:sz w:val="20"/>
          <w:lang w:eastAsia="es-CR"/>
        </w:rPr>
        <w:t xml:space="preserve"> QUE EL </w:t>
      </w:r>
      <w:proofErr w:type="spellStart"/>
      <w:r w:rsidRPr="00C76BED">
        <w:rPr>
          <w:rFonts w:ascii="Arial" w:eastAsia="Arial" w:hAnsi="Arial" w:cs="Arial"/>
          <w:b/>
          <w:color w:val="000000"/>
          <w:sz w:val="20"/>
          <w:lang w:eastAsia="es-CR"/>
        </w:rPr>
        <w:t>DEREChO</w:t>
      </w:r>
      <w:proofErr w:type="spellEnd"/>
      <w:r w:rsidRPr="00C76BED">
        <w:rPr>
          <w:rFonts w:ascii="Arial" w:eastAsia="Arial" w:hAnsi="Arial" w:cs="Arial"/>
          <w:b/>
          <w:color w:val="000000"/>
          <w:sz w:val="20"/>
          <w:lang w:eastAsia="es-CR"/>
        </w:rPr>
        <w:t xml:space="preserve"> DE AUTOR ES PROPIO PERO </w:t>
      </w:r>
    </w:p>
    <w:p w14:paraId="479AF0A7" w14:textId="77777777" w:rsidR="00C76BED" w:rsidRPr="00C76BED" w:rsidRDefault="00C76BED" w:rsidP="00C76BED">
      <w:pPr>
        <w:keepNext/>
        <w:keepLines/>
        <w:spacing w:after="267" w:line="265" w:lineRule="auto"/>
        <w:ind w:left="390"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QUE LO PRODUCIDO POR ESTE DURANTE LA </w:t>
      </w:r>
      <w:proofErr w:type="spellStart"/>
      <w:r w:rsidRPr="00C76BED">
        <w:rPr>
          <w:rFonts w:ascii="Arial" w:eastAsia="Arial" w:hAnsi="Arial" w:cs="Arial"/>
          <w:b/>
          <w:color w:val="000000"/>
          <w:sz w:val="20"/>
          <w:lang w:eastAsia="es-CR"/>
        </w:rPr>
        <w:t>VIgENCIA</w:t>
      </w:r>
      <w:proofErr w:type="spellEnd"/>
      <w:r w:rsidRPr="00C76BED">
        <w:rPr>
          <w:rFonts w:ascii="Arial" w:eastAsia="Arial" w:hAnsi="Arial" w:cs="Arial"/>
          <w:b/>
          <w:color w:val="000000"/>
          <w:sz w:val="20"/>
          <w:lang w:eastAsia="es-CR"/>
        </w:rPr>
        <w:t xml:space="preserve"> DEL </w:t>
      </w:r>
      <w:proofErr w:type="spellStart"/>
      <w:r w:rsidRPr="00C76BED">
        <w:rPr>
          <w:rFonts w:ascii="Arial" w:eastAsia="Arial" w:hAnsi="Arial" w:cs="Arial"/>
          <w:b/>
          <w:color w:val="000000"/>
          <w:sz w:val="20"/>
          <w:lang w:eastAsia="es-CR"/>
        </w:rPr>
        <w:t>mATRImONIO</w:t>
      </w:r>
      <w:proofErr w:type="spellEnd"/>
      <w:r w:rsidRPr="00C76BED">
        <w:rPr>
          <w:rFonts w:ascii="Arial" w:eastAsia="Arial" w:hAnsi="Arial" w:cs="Arial"/>
          <w:b/>
          <w:color w:val="000000"/>
          <w:sz w:val="20"/>
          <w:lang w:eastAsia="es-CR"/>
        </w:rPr>
        <w:t xml:space="preserve"> ES </w:t>
      </w:r>
      <w:proofErr w:type="spellStart"/>
      <w:r w:rsidRPr="00C76BED">
        <w:rPr>
          <w:rFonts w:ascii="Arial" w:eastAsia="Arial" w:hAnsi="Arial" w:cs="Arial"/>
          <w:b/>
          <w:color w:val="000000"/>
          <w:sz w:val="20"/>
          <w:lang w:eastAsia="es-CR"/>
        </w:rPr>
        <w:t>SIEmPRE</w:t>
      </w:r>
      <w:proofErr w:type="spellEnd"/>
      <w:r w:rsidRPr="00C76BED">
        <w:rPr>
          <w:rFonts w:ascii="Arial" w:eastAsia="Arial" w:hAnsi="Arial" w:cs="Arial"/>
          <w:b/>
          <w:color w:val="000000"/>
          <w:sz w:val="20"/>
          <w:lang w:eastAsia="es-CR"/>
        </w:rPr>
        <w:t xml:space="preserve"> </w:t>
      </w:r>
      <w:proofErr w:type="spellStart"/>
      <w:r w:rsidRPr="00C76BED">
        <w:rPr>
          <w:rFonts w:ascii="Arial" w:eastAsia="Arial" w:hAnsi="Arial" w:cs="Arial"/>
          <w:b/>
          <w:color w:val="000000"/>
          <w:sz w:val="20"/>
          <w:lang w:eastAsia="es-CR"/>
        </w:rPr>
        <w:t>gANANCIAL</w:t>
      </w:r>
      <w:proofErr w:type="spellEnd"/>
    </w:p>
    <w:p w14:paraId="1E0F208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Quienes sostienen esta tesis consideran que el derecho de autor es propio, siempre y cuando el autor no se haya desprendido de su obra, y estiman que si el autor se desprende de su obra esta se desvincula de la personalidad del autor y por ende el precio de la enajenación tiene características gananciales; sin que exista justificación alguna para atribuirle carácter de propio, ya que no se lo puede considerar subrogado en la obra enajenada. Existe una diferencia entre los que sostienen esta tesis porque para algunos si la obra fue realizada durante el matrimonio y se vende con posterioridad, el producido es siempre ganancial; mientras que para otros solo es lo que se perciba durante la vigencia del matrimonio, no lo que se perciba con posterioridad a este. Fassi y </w:t>
      </w:r>
      <w:proofErr w:type="spellStart"/>
      <w:r w:rsidRPr="00C76BED">
        <w:rPr>
          <w:rFonts w:ascii="Arial" w:eastAsia="Arial" w:hAnsi="Arial" w:cs="Arial"/>
          <w:color w:val="000000"/>
          <w:sz w:val="20"/>
          <w:lang w:eastAsia="es-CR"/>
        </w:rPr>
        <w:t>Bossert</w:t>
      </w:r>
      <w:proofErr w:type="spellEnd"/>
      <w:r w:rsidRPr="00C76BED">
        <w:rPr>
          <w:rFonts w:ascii="Arial" w:eastAsia="Arial" w:hAnsi="Arial" w:cs="Arial"/>
          <w:color w:val="000000"/>
          <w:sz w:val="20"/>
          <w:lang w:eastAsia="es-CR"/>
        </w:rPr>
        <w:t xml:space="preserve"> participan de la posición antes descripta y exponen algunos ejemplos que permiten entender claramente esta tesis, señalan: </w:t>
      </w:r>
    </w:p>
    <w:p w14:paraId="45604139"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 </w:t>
      </w:r>
      <w:proofErr w:type="gramStart"/>
      <w:r w:rsidRPr="00C76BED">
        <w:rPr>
          <w:rFonts w:ascii="Arial" w:eastAsia="Arial" w:hAnsi="Arial" w:cs="Arial"/>
          <w:color w:val="000000"/>
          <w:sz w:val="20"/>
          <w:lang w:eastAsia="es-CR"/>
        </w:rPr>
        <w:t>que</w:t>
      </w:r>
      <w:proofErr w:type="gramEnd"/>
      <w:r w:rsidRPr="00C76BED">
        <w:rPr>
          <w:rFonts w:ascii="Arial" w:eastAsia="Arial" w:hAnsi="Arial" w:cs="Arial"/>
          <w:color w:val="000000"/>
          <w:sz w:val="20"/>
          <w:lang w:eastAsia="es-CR"/>
        </w:rPr>
        <w:t xml:space="preserve"> si un escultor vende su estatua y el derecho de reproducirlo durante la sociedad </w:t>
      </w:r>
      <w:r w:rsidRPr="00C76BED">
        <w:rPr>
          <w:rFonts w:ascii="Arial" w:eastAsia="Arial" w:hAnsi="Arial" w:cs="Arial"/>
          <w:color w:val="000000"/>
          <w:sz w:val="20"/>
          <w:lang w:eastAsia="es-CR"/>
        </w:rPr>
        <w:lastRenderedPageBreak/>
        <w:t xml:space="preserve">conyugal, todo el precio será ganancial. Si vende la estatua, pero conserva el derecho de reproducirla, el derecho de autor por las reproducciones que hiciere durante la sociedad conyugal, también será ganancial. Disuelta la sociedad conyugal, serán gananciales las sumas que se perciban por derechos de autor correspondientes a obras vendidas con anterioridad a la disolución y pendientes de pago. Pero si se hacen nuevas ediciones, nuevas reproducciones, nuevos contratos, todo ingreso futuro será propio del autor. Aclararemos con un ejemplo. Si se ha firmado un contrato de edición, cobrando tanto por ejemplar de cada libro que se venda, es ganancial el derecho de autor por los libros vendidos durante la sociedad conyugal, se haya percibido su importe o los deba el editor. Será del autor, el derecho correspondiente a los ejemplares que se vendan después de disuelta la sociedad conyugal. Y será aporte propio, el crédito contra el editor, por los libros que se hubieren vendido antes del comienzo de la sociedad conyugal. (LACRUZ BERDEJO, José Luis. </w:t>
      </w:r>
      <w:r w:rsidRPr="00C76BED">
        <w:rPr>
          <w:rFonts w:ascii="Arial" w:eastAsia="Arial" w:hAnsi="Arial" w:cs="Arial"/>
          <w:i/>
          <w:color w:val="000000"/>
          <w:sz w:val="20"/>
          <w:lang w:eastAsia="es-CR"/>
        </w:rPr>
        <w:t>Estudios de Derecho Privado común y foral. T III- familia y otros temas</w:t>
      </w:r>
      <w:r w:rsidRPr="00C76BED">
        <w:rPr>
          <w:rFonts w:ascii="Arial" w:eastAsia="Arial" w:hAnsi="Arial" w:cs="Arial"/>
          <w:color w:val="000000"/>
          <w:sz w:val="20"/>
          <w:lang w:eastAsia="es-CR"/>
        </w:rPr>
        <w:t>. p. 512. 22/ FASSI BOSSERT. Óp. cit.).</w:t>
      </w:r>
    </w:p>
    <w:p w14:paraId="18B3018C"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En consecuencia, el llamado derecho de autor, derechos de artistas, intérpretes y ejecutantes son privativos de su titular, de manera que las decisiones concernientes a estos: si se publica o no la obra intelectual, si se reimprime, la comercialización o no de una imagen, etc., todas estas decisiones solo corresponden al cónyuge titular de los mismos y no a la comunidad, aun cuando se haya hecho la obra en materiales pertenecientes al consorcio —una escultura sobre mármol consorcial— o a costa de fondos comunes. En el supuesto de obras creadas constante matrimonio, hemos de advertir que todos los productos pecuniarios que se obtengan de ellas se harán comunes, como bienes que los cónyuges obtienen de su trabajo o actividad; por esta </w:t>
      </w:r>
      <w:r w:rsidRPr="00C76BED">
        <w:rPr>
          <w:rFonts w:ascii="Arial" w:eastAsia="Arial" w:hAnsi="Arial" w:cs="Arial"/>
          <w:color w:val="000000"/>
          <w:sz w:val="20"/>
          <w:lang w:eastAsia="es-CR"/>
        </w:rPr>
        <w:t>misma razón, serán comunes también los productos que se obtengan por la cesión total o parcial del monopolio de explotación. Ahora bien, hemos de tener en cuenta que a la disolución de la comunidad el autor recupera todos los derechos sobre el monopolio de explotación que queda privativo, y que alcanza a todas las rentas que produzcan sus obras, incluidas los beneficios que generen las creadas constante matrimonio (al igual que sucede con el salario, al que cabe equiparar estos beneficios intelectuales).</w:t>
      </w:r>
    </w:p>
    <w:p w14:paraId="264F2988"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t>8. CONCLUSIONES</w:t>
      </w:r>
    </w:p>
    <w:p w14:paraId="45F91FCC"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Los derechos intelectuales, patentes de invención o diseños industriales son propios del autor o inventor, pero son gananciales las utilidades durante la sociedad conyugal.</w:t>
      </w:r>
    </w:p>
    <w:p w14:paraId="0145A357" w14:textId="77777777" w:rsidR="00C76BED" w:rsidRPr="00C76BED" w:rsidRDefault="00C76BED" w:rsidP="00C76BED">
      <w:pPr>
        <w:spacing w:after="28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Se ha tratado de brindar una reseña de los precedentes jurisprudenciales, de las diferentes soluciones doctrinarias dadas en abstractos y de las interpretaciones realizadas autorales sobre el sentido dado a la naturaleza de lo ganancial en relación con esa personalidad de la propiedad intelectual. Al respecto, se concluye que: </w:t>
      </w:r>
    </w:p>
    <w:p w14:paraId="6797E5FE" w14:textId="77777777" w:rsidR="00C76BED" w:rsidRPr="00C76BED" w:rsidRDefault="00C76BED" w:rsidP="00C76BED">
      <w:pPr>
        <w:numPr>
          <w:ilvl w:val="0"/>
          <w:numId w:val="6"/>
        </w:numPr>
        <w:spacing w:after="263"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El derecho de autor en sí es un bien propio.</w:t>
      </w:r>
    </w:p>
    <w:p w14:paraId="495F339D"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El aspecto moral de la propiedad intelectual es siempre propio del autor o creador.</w:t>
      </w:r>
    </w:p>
    <w:p w14:paraId="644BFA61"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El producido económico que ingrese en virtud del derecho de autor, durante la vigencia de la sociedad conyugal, es ganancial.</w:t>
      </w:r>
    </w:p>
    <w:p w14:paraId="51D14E1A"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Los bienes que se compren con el producido de los derechos de autor durante el matrimonio son gananciales.</w:t>
      </w:r>
    </w:p>
    <w:p w14:paraId="65AE26BE" w14:textId="77777777" w:rsidR="00C76BED" w:rsidRPr="00C76BED" w:rsidRDefault="00C76BED" w:rsidP="00C76BED">
      <w:pPr>
        <w:numPr>
          <w:ilvl w:val="0"/>
          <w:numId w:val="6"/>
        </w:numPr>
        <w:spacing w:after="263"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lastRenderedPageBreak/>
        <w:t>Si el derecho de autor se vende o se cede totalmente durante la sociedad conyugal, el producido es propio porque se subroga en el bien que viene a ocupar, que es de naturaleza propia.</w:t>
      </w:r>
    </w:p>
    <w:p w14:paraId="6511250E"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 la disolución del matrimonio por muerte del autor las obras no vendidas ni cedidas, es decir aquellas que se encuentren en el patrimonio del causante, son heredadas según las reglas de los bienes propios.</w:t>
      </w:r>
    </w:p>
    <w:p w14:paraId="5DC788B7"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 la disolución del matrimonio por muerte del cónyuge del autor las obras no vendidas, ni cedidas, es decir aquellas que se encuentren en el patrimonio del autor, no son parte del caudal relicto por ser propios del sobreviviente.</w:t>
      </w:r>
    </w:p>
    <w:p w14:paraId="4AD4AD45"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A la disolución del matrimonio por divorcio, las obras no vendidas ni cedidas no son divididas según las reglas de la comunidad, por ser un bien propio del autor.</w:t>
      </w:r>
    </w:p>
    <w:p w14:paraId="5C081345" w14:textId="77777777" w:rsidR="00C76BED" w:rsidRPr="00C76BED" w:rsidRDefault="00C76BED" w:rsidP="00C76BED">
      <w:pPr>
        <w:numPr>
          <w:ilvl w:val="0"/>
          <w:numId w:val="6"/>
        </w:numPr>
        <w:spacing w:after="262" w:line="266"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A la disolución del matrimonio por divorcio, son gananciales las sumas que se perciban por derecho de autor correspondientes a obras editadas con anterioridad a la disolución y pendientes de pago. </w:t>
      </w:r>
    </w:p>
    <w:p w14:paraId="3CD82ACA" w14:textId="77777777" w:rsidR="00C76BED" w:rsidRPr="00C76BED" w:rsidRDefault="00C76BED" w:rsidP="00C76BED">
      <w:pPr>
        <w:numPr>
          <w:ilvl w:val="0"/>
          <w:numId w:val="6"/>
        </w:numPr>
        <w:spacing w:after="263"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No se requiere el asentimiento conyugal para la disposición del derecho de autor. </w:t>
      </w:r>
    </w:p>
    <w:p w14:paraId="4BEE505D" w14:textId="77777777" w:rsidR="00C76BED" w:rsidRPr="00C76BED" w:rsidRDefault="00C76BED" w:rsidP="00C76BED">
      <w:pPr>
        <w:numPr>
          <w:ilvl w:val="0"/>
          <w:numId w:val="6"/>
        </w:numPr>
        <w:spacing w:after="263" w:line="264" w:lineRule="auto"/>
        <w:ind w:right="8"/>
        <w:jc w:val="both"/>
        <w:rPr>
          <w:rFonts w:ascii="Arial" w:eastAsia="Arial" w:hAnsi="Arial" w:cs="Arial"/>
          <w:color w:val="000000"/>
          <w:sz w:val="20"/>
          <w:lang w:eastAsia="es-CR"/>
        </w:rPr>
      </w:pPr>
      <w:r w:rsidRPr="00C76BED">
        <w:rPr>
          <w:rFonts w:ascii="Arial" w:eastAsia="Arial" w:hAnsi="Arial" w:cs="Arial"/>
          <w:color w:val="000000"/>
          <w:sz w:val="20"/>
          <w:lang w:eastAsia="es-CR"/>
        </w:rPr>
        <w:t>El derecho de autor no puede ser ejercido abusivamente en perjuicio de su cónyuge.</w:t>
      </w:r>
      <w:r w:rsidRPr="00C76BED">
        <w:rPr>
          <w:rFonts w:ascii="Arial" w:eastAsia="Arial" w:hAnsi="Arial" w:cs="Arial"/>
          <w:color w:val="000000"/>
          <w:sz w:val="20"/>
          <w:lang w:eastAsia="es-CR"/>
        </w:rPr>
        <w:br w:type="page"/>
      </w:r>
    </w:p>
    <w:p w14:paraId="108DD67B"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lastRenderedPageBreak/>
        <w:t>9. ANEXO</w:t>
      </w:r>
    </w:p>
    <w:p w14:paraId="2C69E63B"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 xml:space="preserve">CASO </w:t>
      </w:r>
      <w:proofErr w:type="spellStart"/>
      <w:r w:rsidRPr="00C76BED">
        <w:rPr>
          <w:rFonts w:ascii="Arial" w:eastAsia="Arial" w:hAnsi="Arial" w:cs="Arial"/>
          <w:b/>
          <w:color w:val="000000"/>
          <w:sz w:val="20"/>
          <w:lang w:eastAsia="es-CR"/>
        </w:rPr>
        <w:t>RObERTO</w:t>
      </w:r>
      <w:proofErr w:type="spellEnd"/>
      <w:r w:rsidRPr="00C76BED">
        <w:rPr>
          <w:rFonts w:ascii="Arial" w:eastAsia="Arial" w:hAnsi="Arial" w:cs="Arial"/>
          <w:b/>
          <w:color w:val="000000"/>
          <w:sz w:val="20"/>
          <w:lang w:eastAsia="es-CR"/>
        </w:rPr>
        <w:t xml:space="preserve"> ARLT </w:t>
      </w:r>
      <w:proofErr w:type="spellStart"/>
      <w:r w:rsidRPr="00C76BED">
        <w:rPr>
          <w:rFonts w:ascii="Arial" w:eastAsia="Arial" w:hAnsi="Arial" w:cs="Arial"/>
          <w:b/>
          <w:color w:val="000000"/>
          <w:sz w:val="20"/>
          <w:lang w:eastAsia="es-CR"/>
        </w:rPr>
        <w:t>SUCESIóN</w:t>
      </w:r>
      <w:proofErr w:type="spellEnd"/>
      <w:r w:rsidRPr="00C76BED">
        <w:rPr>
          <w:rFonts w:ascii="Arial" w:eastAsia="Arial" w:hAnsi="Arial" w:cs="Arial"/>
          <w:b/>
          <w:color w:val="000000"/>
          <w:sz w:val="20"/>
          <w:lang w:eastAsia="es-CR"/>
        </w:rPr>
        <w:t xml:space="preserve"> DE </w:t>
      </w:r>
      <w:proofErr w:type="spellStart"/>
      <w:r w:rsidRPr="00C76BED">
        <w:rPr>
          <w:rFonts w:ascii="Arial" w:eastAsia="Arial" w:hAnsi="Arial" w:cs="Arial"/>
          <w:b/>
          <w:color w:val="000000"/>
          <w:sz w:val="20"/>
          <w:lang w:eastAsia="es-CR"/>
        </w:rPr>
        <w:t>bIENES</w:t>
      </w:r>
      <w:proofErr w:type="spellEnd"/>
      <w:r w:rsidRPr="00C76BED">
        <w:rPr>
          <w:rFonts w:ascii="Arial" w:eastAsia="Arial" w:hAnsi="Arial" w:cs="Arial"/>
          <w:b/>
          <w:color w:val="000000"/>
          <w:sz w:val="20"/>
          <w:lang w:eastAsia="es-CR"/>
        </w:rPr>
        <w:t xml:space="preserve"> INTELECTUALES</w:t>
      </w:r>
    </w:p>
    <w:p w14:paraId="75B22C17"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Setiembre 7, 1967. Arlt </w:t>
      </w:r>
      <w:proofErr w:type="spellStart"/>
      <w:r w:rsidRPr="00C76BED">
        <w:rPr>
          <w:rFonts w:ascii="Arial" w:eastAsia="Arial" w:hAnsi="Arial" w:cs="Arial"/>
          <w:color w:val="000000"/>
          <w:sz w:val="20"/>
          <w:lang w:eastAsia="es-CR"/>
        </w:rPr>
        <w:t>Cristophersen</w:t>
      </w:r>
      <w:proofErr w:type="spellEnd"/>
      <w:r w:rsidRPr="00C76BED">
        <w:rPr>
          <w:rFonts w:ascii="Arial" w:eastAsia="Arial" w:hAnsi="Arial" w:cs="Arial"/>
          <w:color w:val="000000"/>
          <w:sz w:val="20"/>
          <w:lang w:eastAsia="es-CR"/>
        </w:rPr>
        <w:t>, Roberto y otra.</w:t>
      </w:r>
    </w:p>
    <w:p w14:paraId="4F525335"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1ra. instancia</w:t>
      </w:r>
    </w:p>
    <w:p w14:paraId="244F04FA" w14:textId="77777777" w:rsidR="00C76BED" w:rsidRPr="00C76BED" w:rsidRDefault="00C76BED" w:rsidP="00C76BED">
      <w:pPr>
        <w:spacing w:after="5"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Buenos Aires, mayo 30 de 1966. Considerando: Electra M. Arlt, hija del primer matrimonio del causante, sostiene que las obras producidas durante la vigencia de la sociedad conyugal formada por Roberto C. Arlt y Carmen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son bienes gananciales y, por tanto, la mitad de dichas obras integran el acervo hereditario de su madre. Por su parte, Elizabeth M. </w:t>
      </w:r>
      <w:proofErr w:type="spellStart"/>
      <w:r w:rsidRPr="00C76BED">
        <w:rPr>
          <w:rFonts w:ascii="Arial" w:eastAsia="Arial" w:hAnsi="Arial" w:cs="Arial"/>
          <w:color w:val="000000"/>
          <w:sz w:val="20"/>
          <w:lang w:eastAsia="es-CR"/>
        </w:rPr>
        <w:t>Shine</w:t>
      </w:r>
      <w:proofErr w:type="spellEnd"/>
      <w:r w:rsidRPr="00C76BED">
        <w:rPr>
          <w:rFonts w:ascii="Arial" w:eastAsia="Arial" w:hAnsi="Arial" w:cs="Arial"/>
          <w:color w:val="000000"/>
          <w:sz w:val="20"/>
          <w:lang w:eastAsia="es-CR"/>
        </w:rPr>
        <w:t xml:space="preserve"> de Arlt, cónyuge supérstite del segundo matrimonio del causante, manifiesta que la propiedad intelectual es un derecho exclusivo, un bien propio del que ha producido la obra; en cambio, las rentas devengadas pertenecen a la sociedad conyugal en que se producen. Muy variadas son las doctrinas que se han sustentado al respecto. Sin </w:t>
      </w:r>
      <w:proofErr w:type="gramStart"/>
      <w:r w:rsidRPr="00C76BED">
        <w:rPr>
          <w:rFonts w:ascii="Arial" w:eastAsia="Arial" w:hAnsi="Arial" w:cs="Arial"/>
          <w:color w:val="000000"/>
          <w:sz w:val="20"/>
          <w:lang w:eastAsia="es-CR"/>
        </w:rPr>
        <w:t>embargo</w:t>
      </w:r>
      <w:proofErr w:type="gramEnd"/>
      <w:r w:rsidRPr="00C76BED">
        <w:rPr>
          <w:rFonts w:ascii="Arial" w:eastAsia="Arial" w:hAnsi="Arial" w:cs="Arial"/>
          <w:color w:val="000000"/>
          <w:sz w:val="20"/>
          <w:lang w:eastAsia="es-CR"/>
        </w:rPr>
        <w:t xml:space="preserve"> pueden agruparse en tres tendencias o sistemas: </w:t>
      </w:r>
    </w:p>
    <w:p w14:paraId="067EB3CE"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a) del derecho patrimonial; b) del derecho de la </w:t>
      </w:r>
      <w:proofErr w:type="gramStart"/>
      <w:r w:rsidRPr="00C76BED">
        <w:rPr>
          <w:rFonts w:ascii="Arial" w:eastAsia="Arial" w:hAnsi="Arial" w:cs="Arial"/>
          <w:color w:val="000000"/>
          <w:sz w:val="20"/>
          <w:lang w:eastAsia="es-CR"/>
        </w:rPr>
        <w:t>personalidad ;</w:t>
      </w:r>
      <w:proofErr w:type="gramEnd"/>
      <w:r w:rsidRPr="00C76BED">
        <w:rPr>
          <w:rFonts w:ascii="Arial" w:eastAsia="Arial" w:hAnsi="Arial" w:cs="Arial"/>
          <w:color w:val="000000"/>
          <w:sz w:val="20"/>
          <w:lang w:eastAsia="es-CR"/>
        </w:rPr>
        <w:t xml:space="preserve"> c) del derecho propio o especial. </w:t>
      </w:r>
    </w:p>
    <w:p w14:paraId="45C4962A"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El derecho intelectual de los autores consiste esencialmente en el monopolio o privilegio exclusivo de explotación a favor de su titular. Este es un </w:t>
      </w:r>
      <w:proofErr w:type="spellStart"/>
      <w:r w:rsidRPr="00C76BED">
        <w:rPr>
          <w:rFonts w:ascii="Arial" w:eastAsia="Arial" w:hAnsi="Arial" w:cs="Arial"/>
          <w:color w:val="000000"/>
          <w:sz w:val="20"/>
          <w:lang w:eastAsia="es-CR"/>
        </w:rPr>
        <w:t>caracter</w:t>
      </w:r>
      <w:proofErr w:type="spellEnd"/>
      <w:r w:rsidRPr="00C76BED">
        <w:rPr>
          <w:rFonts w:ascii="Arial" w:eastAsia="Arial" w:hAnsi="Arial" w:cs="Arial"/>
          <w:color w:val="000000"/>
          <w:sz w:val="20"/>
          <w:lang w:eastAsia="es-CR"/>
        </w:rPr>
        <w:t xml:space="preserve"> particularísimo que impide confundirlo con otra clase de derechos, al punto que el derecho está ligado al ejercicio por parte del titular de una actividad personal y no vale sino en la medida en que se ejerce esa actividad.</w:t>
      </w:r>
    </w:p>
    <w:p w14:paraId="21C1A92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La obra literaria es el resultado de una particular elaboración intelectual —una creación del espíritu— que constituye por sí </w:t>
      </w:r>
      <w:r w:rsidRPr="00C76BED">
        <w:rPr>
          <w:rFonts w:ascii="Arial" w:eastAsia="Arial" w:hAnsi="Arial" w:cs="Arial"/>
          <w:color w:val="000000"/>
          <w:sz w:val="20"/>
          <w:lang w:eastAsia="es-CR"/>
        </w:rPr>
        <w:t xml:space="preserve">misma una unidad ideológica. Mediante este esfuerzo imaginativo de exteriorización de su </w:t>
      </w:r>
      <w:proofErr w:type="spellStart"/>
      <w:proofErr w:type="gramStart"/>
      <w:r w:rsidRPr="00C76BED">
        <w:rPr>
          <w:rFonts w:ascii="Arial" w:eastAsia="Arial" w:hAnsi="Arial" w:cs="Arial"/>
          <w:color w:val="000000"/>
          <w:sz w:val="20"/>
          <w:lang w:eastAsia="es-CR"/>
        </w:rPr>
        <w:t>pensamiento,el</w:t>
      </w:r>
      <w:proofErr w:type="spellEnd"/>
      <w:proofErr w:type="gramEnd"/>
      <w:r w:rsidRPr="00C76BED">
        <w:rPr>
          <w:rFonts w:ascii="Arial" w:eastAsia="Arial" w:hAnsi="Arial" w:cs="Arial"/>
          <w:color w:val="000000"/>
          <w:sz w:val="20"/>
          <w:lang w:eastAsia="es-CR"/>
        </w:rPr>
        <w:t xml:space="preserve"> autor imprime su característica personal a la obra, dándole valor y distinguiéndola de las demás; en ella pone una parte de su personalidad.</w:t>
      </w:r>
    </w:p>
    <w:p w14:paraId="1D839D48"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El derecho moral es el aspecto del derecho intelectual que concierne a la tutela de la personalidad del autor como creador y a la tutela de la obra como entidad. Constituye una emanación de la personalidad del autor, que le permite crear la obra y hacerla respetar, defender su integridad en la forma y en el fondo. En suma, podemos decir que es un derecho inherente a su persona y de carácter extrapatrimonial. Tiene por objeto defender la personalidad del autor de las posibles lesiones a su capacidad o calidad creadora, y se funda en el principio de que la personalidad humana es intangible, y trata de evitar que se perjudiquen en lo esencial los intereses personales o artísticos del autor.</w:t>
      </w:r>
    </w:p>
    <w:p w14:paraId="5D3591A5"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El derecho pecuniario no tiene, como emolumento de un oficio, un valor que pueda fijarse en el momento de la disolución de la comunidad. Este valor depende únicamente de la explotación de la obra por el autor, y el autor explota su obra a voluntad, por causa de su derecho moral. De este modo, el derecho pecuniario depende del derecho moral, y resulta inconcebible que pueda ser afectado a la comunidad mientras el derecho moral permanece como propio.</w:t>
      </w:r>
    </w:p>
    <w:p w14:paraId="6B215383"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b/>
          <w:i/>
          <w:color w:val="000000"/>
          <w:sz w:val="20"/>
          <w:lang w:eastAsia="es-CR"/>
        </w:rPr>
        <w:t xml:space="preserve">FALLO: </w:t>
      </w:r>
      <w:r w:rsidRPr="00C76BED">
        <w:rPr>
          <w:rFonts w:ascii="Arial" w:eastAsia="Arial" w:hAnsi="Arial" w:cs="Arial"/>
          <w:color w:val="000000"/>
          <w:sz w:val="20"/>
          <w:lang w:eastAsia="es-CR"/>
        </w:rPr>
        <w:t xml:space="preserve">En mérito de los argumentos vertidos precedentemente, entiendo que no es de aplicación en la especie, el principio del art. 1271 del Cód. Civil. En cambio, por aplicación del art. 1272, los beneficios obtenidos por la explotación del derecho pecuniario, como frutos civiles de bienes propios, pertenecen a la sociedad conyugal. En suma, y con respecto a la cuestión debatida en autos, oído el </w:t>
      </w:r>
      <w:r w:rsidRPr="00C76BED">
        <w:rPr>
          <w:rFonts w:ascii="Arial" w:eastAsia="Arial" w:hAnsi="Arial" w:cs="Arial"/>
          <w:color w:val="000000"/>
          <w:sz w:val="20"/>
          <w:lang w:eastAsia="es-CR"/>
        </w:rPr>
        <w:lastRenderedPageBreak/>
        <w:t xml:space="preserve">Apoderado Fiscal ha de concluirse que los derechos intelectuales o propiedad intelectual de Roberto Arlt, en sus dos aspectos, moral y pecuniario, son bienes propios del mismo y que al fallecimiento de su primera esposa, Carmen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el acervo hereditario de ésta lo constituía la mitad de los beneficios obtenidos durante esa sociedad conyugal, por efecto de los contratos que Arlt hubiere concluido para la explotación comercial de su obra, todo lo cual así se declara. </w:t>
      </w:r>
    </w:p>
    <w:p w14:paraId="788DA9FE"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b/>
          <w:color w:val="000000"/>
          <w:sz w:val="20"/>
          <w:lang w:eastAsia="es-CR"/>
        </w:rPr>
        <w:t>2da. instancia</w:t>
      </w:r>
    </w:p>
    <w:p w14:paraId="6DBF7A92"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Pese a la especial naturaleza jurídica del derecho intelectual y a la interdependencia que existe entre el derecho moral y el pecuniario, una vez que la obra —por su publicación, representación, etc.— ha ingresado al ámbito patrimonial, con la posibilidad jurídica de la “enajenación” a terceros por medio de su cesión (arts. 2° y 51, ley 11.723), no puede desconocerse que, de acuerdo con nuestro régimen legal de la sociedad conyugal (arts. 1271 y 1272, y, en general, todo el contexto de este título del código), en principio ese bien entra dentro de la categoría matrimonial de gananciales. Esa obra intelectual es el resultado del trabajo de uno de los cónyuges. Esto es innegable. Hay genio o talento, gracia o don, pero sin el trabajo no hay obra. Y si la sociedad conyugal es, en lo fundamental, una asociación de trabajo, puesto que tiene por base el esfuerzo común y la colaboración de los esposos, parece lógico que se incorporen a ella todas las consecuencias o productos de sus recíprocas actividades, cualesquiera sean sus formas y características. Para que alguna de ellas quede excluida, se necesita una norma expresa, salvo si se da una excepcionalísima situación particular de absoluta incompatibilidad, que, como se verá al final, no se plantea en el caso examinado.</w:t>
      </w:r>
    </w:p>
    <w:p w14:paraId="65CE1245"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b/>
          <w:i/>
          <w:color w:val="000000"/>
          <w:sz w:val="20"/>
          <w:lang w:eastAsia="es-CR"/>
        </w:rPr>
        <w:t xml:space="preserve">FALLO: </w:t>
      </w:r>
      <w:r w:rsidRPr="00C76BED">
        <w:rPr>
          <w:rFonts w:ascii="Arial" w:eastAsia="Arial" w:hAnsi="Arial" w:cs="Arial"/>
          <w:color w:val="000000"/>
          <w:sz w:val="20"/>
          <w:lang w:eastAsia="es-CR"/>
        </w:rPr>
        <w:t xml:space="preserve">Por tales fundamentos, y en cuanto fue materia apelada, se revoca la resolución apelada y, en consecuencia, se declara que la mitad de los derechos intelectuales de las obras de Roberto Arlt editadas durante la vigencia de la sociedad conyugal </w:t>
      </w:r>
      <w:proofErr w:type="spellStart"/>
      <w:r w:rsidRPr="00C76BED">
        <w:rPr>
          <w:rFonts w:ascii="Arial" w:eastAsia="Arial" w:hAnsi="Arial" w:cs="Arial"/>
          <w:color w:val="000000"/>
          <w:sz w:val="20"/>
          <w:lang w:eastAsia="es-CR"/>
        </w:rPr>
        <w:t>ArltAntinucci</w:t>
      </w:r>
      <w:proofErr w:type="spellEnd"/>
      <w:r w:rsidRPr="00C76BED">
        <w:rPr>
          <w:rFonts w:ascii="Arial" w:eastAsia="Arial" w:hAnsi="Arial" w:cs="Arial"/>
          <w:color w:val="000000"/>
          <w:sz w:val="20"/>
          <w:lang w:eastAsia="es-CR"/>
        </w:rPr>
        <w:t xml:space="preserve"> forman el acervo hereditario de la sucesión de Carmen </w:t>
      </w:r>
      <w:proofErr w:type="spellStart"/>
      <w:r w:rsidRPr="00C76BED">
        <w:rPr>
          <w:rFonts w:ascii="Arial" w:eastAsia="Arial" w:hAnsi="Arial" w:cs="Arial"/>
          <w:color w:val="000000"/>
          <w:sz w:val="20"/>
          <w:lang w:eastAsia="es-CR"/>
        </w:rPr>
        <w:t>Antinucci</w:t>
      </w:r>
      <w:proofErr w:type="spellEnd"/>
      <w:r w:rsidRPr="00C76BED">
        <w:rPr>
          <w:rFonts w:ascii="Arial" w:eastAsia="Arial" w:hAnsi="Arial" w:cs="Arial"/>
          <w:color w:val="000000"/>
          <w:sz w:val="20"/>
          <w:lang w:eastAsia="es-CR"/>
        </w:rPr>
        <w:t xml:space="preserve"> de Arlt, en carácter de gananciales, y que la otra mitad entra en la sucesión de Roberto Arlt, que también se integra con la mitad de los derechos sobre las obras cuya primera edición se realizó después de la celebración del segundo matrimonio, perteneciendo la otra mitad de este grupo de obras a la viuda, Elisabeth Mary </w:t>
      </w:r>
      <w:proofErr w:type="spellStart"/>
      <w:r w:rsidRPr="00C76BED">
        <w:rPr>
          <w:rFonts w:ascii="Arial" w:eastAsia="Arial" w:hAnsi="Arial" w:cs="Arial"/>
          <w:color w:val="000000"/>
          <w:sz w:val="20"/>
          <w:lang w:eastAsia="es-CR"/>
        </w:rPr>
        <w:t>Shine</w:t>
      </w:r>
      <w:proofErr w:type="spellEnd"/>
      <w:r w:rsidRPr="00C76BED">
        <w:rPr>
          <w:rFonts w:ascii="Arial" w:eastAsia="Arial" w:hAnsi="Arial" w:cs="Arial"/>
          <w:color w:val="000000"/>
          <w:sz w:val="20"/>
          <w:lang w:eastAsia="es-CR"/>
        </w:rPr>
        <w:t xml:space="preserve"> de Arlt, en carácter de gananciales.</w:t>
      </w:r>
    </w:p>
    <w:p w14:paraId="2D9FDC2D" w14:textId="77777777" w:rsidR="00C76BED" w:rsidRPr="00C76BED" w:rsidRDefault="00C76BED" w:rsidP="00C76BED">
      <w:pPr>
        <w:spacing w:after="262" w:line="266" w:lineRule="auto"/>
        <w:ind w:left="10" w:right="2" w:hanging="10"/>
        <w:jc w:val="both"/>
        <w:rPr>
          <w:rFonts w:ascii="Arial" w:eastAsia="Arial" w:hAnsi="Arial" w:cs="Arial"/>
          <w:color w:val="000000"/>
          <w:sz w:val="20"/>
          <w:lang w:eastAsia="es-CR"/>
        </w:rPr>
        <w:sectPr w:rsidR="00C76BED" w:rsidRPr="00C76BED">
          <w:type w:val="continuous"/>
          <w:pgSz w:w="11140" w:h="15024"/>
          <w:pgMar w:top="1638" w:right="1303" w:bottom="1695" w:left="1315" w:header="720" w:footer="720" w:gutter="0"/>
          <w:cols w:num="2" w:space="303"/>
        </w:sectPr>
      </w:pPr>
    </w:p>
    <w:p w14:paraId="68CE6E88" w14:textId="77777777" w:rsidR="00C76BED" w:rsidRPr="00C76BED" w:rsidRDefault="00C76BED" w:rsidP="00C76BED">
      <w:pPr>
        <w:keepNext/>
        <w:keepLines/>
        <w:spacing w:after="201"/>
        <w:ind w:left="9" w:right="449" w:hanging="10"/>
        <w:jc w:val="both"/>
        <w:outlineLvl w:val="2"/>
        <w:rPr>
          <w:rFonts w:ascii="Arial" w:eastAsia="Arial" w:hAnsi="Arial" w:cs="Arial"/>
          <w:b/>
          <w:i/>
          <w:color w:val="000000"/>
          <w:sz w:val="26"/>
          <w:lang w:eastAsia="es-CR"/>
        </w:rPr>
      </w:pPr>
      <w:r w:rsidRPr="00C76BED">
        <w:rPr>
          <w:rFonts w:ascii="Arial" w:eastAsia="Arial" w:hAnsi="Arial" w:cs="Arial"/>
          <w:b/>
          <w:i/>
          <w:color w:val="000000"/>
          <w:sz w:val="26"/>
          <w:lang w:eastAsia="es-CR"/>
        </w:rPr>
        <w:lastRenderedPageBreak/>
        <w:t>10.- BIBLIOGRAFÍA</w:t>
      </w:r>
    </w:p>
    <w:p w14:paraId="52733C7C"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CÓDIGO DE FAMILIA COSTARRICENSE</w:t>
      </w:r>
    </w:p>
    <w:p w14:paraId="29E43C29"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CÓDIGO CIVIL COSTARRICENSE, ARGENTINO Y ESPAÑOL</w:t>
      </w:r>
    </w:p>
    <w:p w14:paraId="33E4C5F0" w14:textId="77777777" w:rsidR="00C76BED" w:rsidRPr="00C76BED" w:rsidRDefault="00C76BED" w:rsidP="00C76BED">
      <w:pPr>
        <w:keepNext/>
        <w:keepLines/>
        <w:spacing w:after="267" w:line="265" w:lineRule="auto"/>
        <w:ind w:left="9" w:right="6" w:hanging="10"/>
        <w:jc w:val="both"/>
        <w:outlineLvl w:val="3"/>
        <w:rPr>
          <w:rFonts w:ascii="Arial" w:eastAsia="Arial" w:hAnsi="Arial" w:cs="Arial"/>
          <w:b/>
          <w:color w:val="000000"/>
          <w:sz w:val="20"/>
          <w:lang w:eastAsia="es-CR"/>
        </w:rPr>
      </w:pPr>
      <w:r w:rsidRPr="00C76BED">
        <w:rPr>
          <w:rFonts w:ascii="Arial" w:eastAsia="Arial" w:hAnsi="Arial" w:cs="Arial"/>
          <w:color w:val="000000"/>
          <w:sz w:val="20"/>
          <w:lang w:eastAsia="es-CR"/>
        </w:rPr>
        <w:t xml:space="preserve">LEY SOBRE </w:t>
      </w:r>
      <w:proofErr w:type="spellStart"/>
      <w:r w:rsidRPr="00C76BED">
        <w:rPr>
          <w:rFonts w:ascii="Arial" w:eastAsia="Arial" w:hAnsi="Arial" w:cs="Arial"/>
          <w:b/>
          <w:color w:val="000000"/>
          <w:sz w:val="20"/>
          <w:lang w:eastAsia="es-CR"/>
        </w:rPr>
        <w:t>DEREChOS</w:t>
      </w:r>
      <w:proofErr w:type="spellEnd"/>
      <w:r w:rsidRPr="00C76BED">
        <w:rPr>
          <w:rFonts w:ascii="Arial" w:eastAsia="Arial" w:hAnsi="Arial" w:cs="Arial"/>
          <w:b/>
          <w:color w:val="000000"/>
          <w:sz w:val="20"/>
          <w:lang w:eastAsia="es-CR"/>
        </w:rPr>
        <w:t xml:space="preserve"> DE AUTOR y </w:t>
      </w:r>
      <w:proofErr w:type="spellStart"/>
      <w:r w:rsidRPr="00C76BED">
        <w:rPr>
          <w:rFonts w:ascii="Arial" w:eastAsia="Arial" w:hAnsi="Arial" w:cs="Arial"/>
          <w:b/>
          <w:color w:val="000000"/>
          <w:sz w:val="20"/>
          <w:lang w:eastAsia="es-CR"/>
        </w:rPr>
        <w:t>DEREChOS</w:t>
      </w:r>
      <w:proofErr w:type="spellEnd"/>
      <w:r w:rsidRPr="00C76BED">
        <w:rPr>
          <w:rFonts w:ascii="Arial" w:eastAsia="Arial" w:hAnsi="Arial" w:cs="Arial"/>
          <w:b/>
          <w:color w:val="000000"/>
          <w:sz w:val="20"/>
          <w:lang w:eastAsia="es-CR"/>
        </w:rPr>
        <w:t xml:space="preserve"> </w:t>
      </w:r>
      <w:proofErr w:type="spellStart"/>
      <w:r w:rsidRPr="00C76BED">
        <w:rPr>
          <w:rFonts w:ascii="Arial" w:eastAsia="Arial" w:hAnsi="Arial" w:cs="Arial"/>
          <w:b/>
          <w:color w:val="000000"/>
          <w:sz w:val="20"/>
          <w:lang w:eastAsia="es-CR"/>
        </w:rPr>
        <w:t>CONExOS</w:t>
      </w:r>
      <w:proofErr w:type="spellEnd"/>
    </w:p>
    <w:p w14:paraId="6A8A683E"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Trejos Salas, Gerardo. </w:t>
      </w:r>
      <w:r w:rsidRPr="00C76BED">
        <w:rPr>
          <w:rFonts w:ascii="Arial" w:eastAsia="Arial" w:hAnsi="Arial" w:cs="Arial"/>
          <w:i/>
          <w:color w:val="000000"/>
          <w:sz w:val="20"/>
          <w:lang w:eastAsia="es-CR"/>
        </w:rPr>
        <w:t>Derecho de Familia Costarricense</w:t>
      </w:r>
      <w:r w:rsidRPr="00C76BED">
        <w:rPr>
          <w:rFonts w:ascii="Arial" w:eastAsia="Arial" w:hAnsi="Arial" w:cs="Arial"/>
          <w:color w:val="000000"/>
          <w:sz w:val="20"/>
          <w:lang w:eastAsia="es-CR"/>
        </w:rPr>
        <w:t xml:space="preserve">. Tomo I, San José, Editorial </w:t>
      </w:r>
      <w:proofErr w:type="spellStart"/>
      <w:r w:rsidRPr="00C76BED">
        <w:rPr>
          <w:rFonts w:ascii="Arial" w:eastAsia="Arial" w:hAnsi="Arial" w:cs="Arial"/>
          <w:color w:val="000000"/>
          <w:sz w:val="20"/>
          <w:lang w:eastAsia="es-CR"/>
        </w:rPr>
        <w:t>Juricentro</w:t>
      </w:r>
      <w:proofErr w:type="spellEnd"/>
      <w:r w:rsidRPr="00C76BED">
        <w:rPr>
          <w:rFonts w:ascii="Arial" w:eastAsia="Arial" w:hAnsi="Arial" w:cs="Arial"/>
          <w:color w:val="000000"/>
          <w:sz w:val="20"/>
          <w:lang w:eastAsia="es-CR"/>
        </w:rPr>
        <w:t>, primera edición, 1990.</w:t>
      </w:r>
    </w:p>
    <w:p w14:paraId="5ACE0D7B"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Brenes Córdoba, Alberto. </w:t>
      </w:r>
      <w:r w:rsidRPr="00C76BED">
        <w:rPr>
          <w:rFonts w:ascii="Arial" w:eastAsia="Arial" w:hAnsi="Arial" w:cs="Arial"/>
          <w:i/>
          <w:color w:val="000000"/>
          <w:sz w:val="20"/>
          <w:lang w:eastAsia="es-CR"/>
        </w:rPr>
        <w:t>Tratado de los Bienes</w:t>
      </w:r>
      <w:r w:rsidRPr="00C76BED">
        <w:rPr>
          <w:rFonts w:ascii="Arial" w:eastAsia="Arial" w:hAnsi="Arial" w:cs="Arial"/>
          <w:color w:val="000000"/>
          <w:sz w:val="20"/>
          <w:lang w:eastAsia="es-CR"/>
        </w:rPr>
        <w:t xml:space="preserve">. Editorial </w:t>
      </w:r>
      <w:proofErr w:type="spellStart"/>
      <w:r w:rsidRPr="00C76BED">
        <w:rPr>
          <w:rFonts w:ascii="Arial" w:eastAsia="Arial" w:hAnsi="Arial" w:cs="Arial"/>
          <w:color w:val="000000"/>
          <w:sz w:val="20"/>
          <w:lang w:eastAsia="es-CR"/>
        </w:rPr>
        <w:t>Juricentro</w:t>
      </w:r>
      <w:proofErr w:type="spellEnd"/>
      <w:r w:rsidRPr="00C76BED">
        <w:rPr>
          <w:rFonts w:ascii="Arial" w:eastAsia="Arial" w:hAnsi="Arial" w:cs="Arial"/>
          <w:color w:val="000000"/>
          <w:sz w:val="20"/>
          <w:lang w:eastAsia="es-CR"/>
        </w:rPr>
        <w:t>, Sétima edición.</w:t>
      </w:r>
    </w:p>
    <w:p w14:paraId="2DE8044C"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BORDA, Guillermo. </w:t>
      </w:r>
      <w:r w:rsidRPr="00C76BED">
        <w:rPr>
          <w:rFonts w:ascii="Arial" w:eastAsia="Arial" w:hAnsi="Arial" w:cs="Arial"/>
          <w:i/>
          <w:color w:val="000000"/>
          <w:sz w:val="20"/>
          <w:lang w:eastAsia="es-CR"/>
        </w:rPr>
        <w:t>Tratado de derecho Civil, Derechos Reales</w:t>
      </w:r>
      <w:r w:rsidRPr="00C76BED">
        <w:rPr>
          <w:rFonts w:ascii="Arial" w:eastAsia="Arial" w:hAnsi="Arial" w:cs="Arial"/>
          <w:color w:val="000000"/>
          <w:sz w:val="20"/>
          <w:lang w:eastAsia="es-CR"/>
        </w:rPr>
        <w:t>. Abeledo Perrot, Buenos Aires.</w:t>
      </w:r>
    </w:p>
    <w:p w14:paraId="38F99E91"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Sala A, Cámara Nacional en lo Civil de la Capital E.D. 16-634 y LL 124-533.</w:t>
      </w:r>
    </w:p>
    <w:p w14:paraId="5B44FB0A"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FASSI, Santiago-BOSSERT, Gustavo. </w:t>
      </w:r>
      <w:r w:rsidRPr="00C76BED">
        <w:rPr>
          <w:rFonts w:ascii="Arial" w:eastAsia="Arial" w:hAnsi="Arial" w:cs="Arial"/>
          <w:i/>
          <w:color w:val="000000"/>
          <w:sz w:val="20"/>
          <w:lang w:eastAsia="es-CR"/>
        </w:rPr>
        <w:t>Sociedad conyugal</w:t>
      </w:r>
      <w:r w:rsidRPr="00C76BED">
        <w:rPr>
          <w:rFonts w:ascii="Arial" w:eastAsia="Arial" w:hAnsi="Arial" w:cs="Arial"/>
          <w:color w:val="000000"/>
          <w:sz w:val="20"/>
          <w:lang w:eastAsia="es-CR"/>
        </w:rPr>
        <w:t>. T. 1.</w:t>
      </w:r>
    </w:p>
    <w:p w14:paraId="005F8AB9" w14:textId="77777777" w:rsidR="00C76BED" w:rsidRPr="00C76BED" w:rsidRDefault="00C76BED" w:rsidP="00C76BED">
      <w:pPr>
        <w:spacing w:after="262" w:line="266" w:lineRule="auto"/>
        <w:ind w:left="9" w:right="8" w:hanging="10"/>
        <w:jc w:val="both"/>
        <w:rPr>
          <w:rFonts w:ascii="Arial" w:eastAsia="Arial" w:hAnsi="Arial" w:cs="Arial"/>
          <w:color w:val="000000"/>
          <w:sz w:val="20"/>
          <w:lang w:eastAsia="es-CR"/>
        </w:rPr>
      </w:pPr>
      <w:r w:rsidRPr="00C76BED">
        <w:rPr>
          <w:rFonts w:ascii="Arial" w:eastAsia="Arial" w:hAnsi="Arial" w:cs="Arial"/>
          <w:color w:val="000000"/>
          <w:sz w:val="20"/>
          <w:lang w:eastAsia="es-CR"/>
        </w:rPr>
        <w:t xml:space="preserve">LACRUZ BERDEJO, José Luis. </w:t>
      </w:r>
      <w:r w:rsidRPr="00C76BED">
        <w:rPr>
          <w:rFonts w:ascii="Arial" w:eastAsia="Arial" w:hAnsi="Arial" w:cs="Arial"/>
          <w:i/>
          <w:color w:val="000000"/>
          <w:sz w:val="20"/>
          <w:lang w:eastAsia="es-CR"/>
        </w:rPr>
        <w:t>Estudios de Derecho Privado común y foral</w:t>
      </w:r>
      <w:r w:rsidRPr="00C76BED">
        <w:rPr>
          <w:rFonts w:ascii="Arial" w:eastAsia="Arial" w:hAnsi="Arial" w:cs="Arial"/>
          <w:color w:val="000000"/>
          <w:sz w:val="20"/>
          <w:lang w:eastAsia="es-CR"/>
        </w:rPr>
        <w:t>. T III- familia y otros temas, p. 512. 22 FASSI – BOSSERT. Óp. cit.</w:t>
      </w:r>
    </w:p>
    <w:p w14:paraId="6C5997BF" w14:textId="77777777" w:rsidR="00C76BED" w:rsidRPr="00C76BED" w:rsidRDefault="00C76BED" w:rsidP="00C76BED">
      <w:pPr>
        <w:spacing w:after="263" w:line="543" w:lineRule="auto"/>
        <w:ind w:left="5" w:right="4972" w:hanging="10"/>
        <w:rPr>
          <w:rFonts w:ascii="Arial" w:eastAsia="Arial" w:hAnsi="Arial" w:cs="Arial"/>
          <w:color w:val="000000"/>
          <w:sz w:val="20"/>
          <w:lang w:eastAsia="es-CR"/>
        </w:rPr>
      </w:pPr>
      <w:r w:rsidRPr="00C76BED">
        <w:rPr>
          <w:rFonts w:ascii="Arial" w:eastAsia="Arial" w:hAnsi="Arial" w:cs="Arial"/>
          <w:color w:val="000000"/>
          <w:sz w:val="20"/>
          <w:lang w:eastAsia="es-CR"/>
        </w:rPr>
        <w:t>www.todoelderecho.com www.gracielamedina.com www.poder-judicial.org.go www.intercodex.com www.luisbonilla.org</w:t>
      </w:r>
    </w:p>
    <w:p w14:paraId="294FD389" w14:textId="77777777" w:rsidR="005D50A0" w:rsidRDefault="005D50A0"/>
    <w:sectPr w:rsidR="005D50A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F6C98" w14:textId="77777777" w:rsidR="00B41022" w:rsidRDefault="00C76BE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DA7D5" w14:textId="77777777" w:rsidR="00B41022" w:rsidRDefault="00C76BE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20F66" w14:textId="77777777" w:rsidR="00B41022" w:rsidRDefault="00C76BED"/>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AEBCE" w14:textId="77777777" w:rsidR="00B41022" w:rsidRDefault="00C76BE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556CA" w14:textId="77777777" w:rsidR="00B41022" w:rsidRDefault="00C76BE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E829C" w14:textId="77777777" w:rsidR="00B41022" w:rsidRDefault="00C76BE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AC7E4" w14:textId="77777777" w:rsidR="00B41022" w:rsidRDefault="00C76BED">
    <w:pPr>
      <w:spacing w:after="0"/>
      <w:ind w:left="26"/>
      <w:jc w:val="center"/>
    </w:pPr>
    <w:r>
      <w:fldChar w:fldCharType="begin"/>
    </w:r>
    <w:r>
      <w:instrText xml:space="preserve"> PAGE   \* MERGEFORMAT </w:instrText>
    </w:r>
    <w:r>
      <w:fldChar w:fldCharType="separate"/>
    </w:r>
    <w:r>
      <w:rPr>
        <w:sz w:val="18"/>
      </w:rPr>
      <w:t>13</w:t>
    </w:r>
    <w:r>
      <w:rPr>
        <w:sz w:val="18"/>
      </w:rP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7CDA9" w14:textId="77777777" w:rsidR="00B41022" w:rsidRDefault="00C76BED">
    <w:pPr>
      <w:spacing w:after="0"/>
      <w:ind w:left="26"/>
      <w:jc w:val="center"/>
    </w:pPr>
    <w:r>
      <w:fldChar w:fldCharType="begin"/>
    </w:r>
    <w:r>
      <w:instrText xml:space="preserve"> PAGE   \* MERGEFORMAT </w:instrText>
    </w:r>
    <w:r>
      <w:fldChar w:fldCharType="separate"/>
    </w:r>
    <w:r>
      <w:rPr>
        <w:sz w:val="18"/>
      </w:rPr>
      <w:t>13</w:t>
    </w:r>
    <w:r>
      <w:rPr>
        <w:sz w:val="18"/>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961DE" w14:textId="77777777" w:rsidR="00B41022" w:rsidRDefault="00C76BED">
    <w:pPr>
      <w:spacing w:after="0"/>
      <w:ind w:left="26"/>
      <w:jc w:val="center"/>
    </w:pPr>
    <w:r>
      <w:fldChar w:fldCharType="begin"/>
    </w:r>
    <w:r>
      <w:instrText xml:space="preserve"> PAGE   \* MERGEFORMAT </w:instrText>
    </w:r>
    <w:r>
      <w:fldChar w:fldCharType="separate"/>
    </w:r>
    <w:r>
      <w:rPr>
        <w:sz w:val="18"/>
      </w:rPr>
      <w:t>13</w:t>
    </w:r>
    <w:r>
      <w:rPr>
        <w:sz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0885"/>
    <w:multiLevelType w:val="hybridMultilevel"/>
    <w:tmpl w:val="132A7FE4"/>
    <w:lvl w:ilvl="0" w:tplc="BE80AB9A">
      <w:start w:val="1"/>
      <w:numFmt w:val="lowerLetter"/>
      <w:lvlText w:val="%1."/>
      <w:lvlJc w:val="left"/>
      <w:pPr>
        <w:ind w:left="3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812EC3E">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E14951E">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A5C665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026B94">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1DA31C2">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8D2513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4A0C240">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8E28512">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751542C"/>
    <w:multiLevelType w:val="hybridMultilevel"/>
    <w:tmpl w:val="BC46789E"/>
    <w:lvl w:ilvl="0" w:tplc="B8EE1AB8">
      <w:start w:val="1"/>
      <w:numFmt w:val="upperLetter"/>
      <w:lvlText w:val="%1."/>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6AC1CE0">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ACA0CC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6AE4B4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51E5DCA">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83FA8548">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F901ED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BC204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696F210">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A7681B"/>
    <w:multiLevelType w:val="hybridMultilevel"/>
    <w:tmpl w:val="3AF2E36C"/>
    <w:lvl w:ilvl="0" w:tplc="56A6B830">
      <w:start w:val="1"/>
      <w:numFmt w:val="bullet"/>
      <w:lvlText w:val="•"/>
      <w:lvlJc w:val="left"/>
      <w:pPr>
        <w:ind w:left="3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A82D584">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B4EC4F1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D94B3B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1687BC">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6722800">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CFF8F4E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CF4830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1344ED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CAE7455"/>
    <w:multiLevelType w:val="hybridMultilevel"/>
    <w:tmpl w:val="84A2BFD6"/>
    <w:lvl w:ilvl="0" w:tplc="017431D4">
      <w:start w:val="1"/>
      <w:numFmt w:val="lowerLetter"/>
      <w:lvlText w:val="%1."/>
      <w:lvlJc w:val="left"/>
      <w:pPr>
        <w:ind w:left="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42096FC">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A7061E4">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EFC04214">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2E6B114">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D4ECFB8E">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B7A02AC">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9160380">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7C0F7CC">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6D668CB"/>
    <w:multiLevelType w:val="hybridMultilevel"/>
    <w:tmpl w:val="1AF8E72A"/>
    <w:lvl w:ilvl="0" w:tplc="E88002D0">
      <w:start w:val="1"/>
      <w:numFmt w:val="bullet"/>
      <w:lvlText w:val="•"/>
      <w:lvlJc w:val="left"/>
      <w:pPr>
        <w:ind w:left="3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A5297FE">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B0C355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F94BC6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3A644E2">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7A21C8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A0ECAC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743BC8">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73CB6A4">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A5C562A"/>
    <w:multiLevelType w:val="hybridMultilevel"/>
    <w:tmpl w:val="B28ADB0E"/>
    <w:lvl w:ilvl="0" w:tplc="31D2C002">
      <w:start w:val="1"/>
      <w:numFmt w:val="lowerLetter"/>
      <w:lvlText w:val="%1."/>
      <w:lvlJc w:val="left"/>
      <w:pPr>
        <w:ind w:left="2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5C2AA62">
      <w:start w:val="1"/>
      <w:numFmt w:val="lowerLetter"/>
      <w:lvlText w:val="%2"/>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EE642530">
      <w:start w:val="1"/>
      <w:numFmt w:val="lowerRoman"/>
      <w:lvlText w:val="%3"/>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BB8CC50">
      <w:start w:val="1"/>
      <w:numFmt w:val="decimal"/>
      <w:lvlText w:val="%4"/>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3A0D99E">
      <w:start w:val="1"/>
      <w:numFmt w:val="lowerLetter"/>
      <w:lvlText w:val="%5"/>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BA64B0">
      <w:start w:val="1"/>
      <w:numFmt w:val="lowerRoman"/>
      <w:lvlText w:val="%6"/>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B2217D6">
      <w:start w:val="1"/>
      <w:numFmt w:val="decimal"/>
      <w:lvlText w:val="%7"/>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F8ECB4A">
      <w:start w:val="1"/>
      <w:numFmt w:val="lowerLetter"/>
      <w:lvlText w:val="%8"/>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05E8734">
      <w:start w:val="1"/>
      <w:numFmt w:val="lowerRoman"/>
      <w:lvlText w:val="%9"/>
      <w:lvlJc w:val="left"/>
      <w:pPr>
        <w:ind w:left="68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abstractNumId w:val="5"/>
  </w:num>
  <w:num w:numId="2">
    <w:abstractNumId w:val="3"/>
  </w:num>
  <w:num w:numId="3">
    <w:abstractNumId w:val="1"/>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BED"/>
    <w:rsid w:val="005D50A0"/>
    <w:rsid w:val="00C76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9D5E4"/>
  <w15:chartTrackingRefBased/>
  <w15:docId w15:val="{9DDE5EE8-E377-4F1E-9C06-651D6005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eader" Target="header5.xml"/><Relationship Id="rId5" Type="http://schemas.openxmlformats.org/officeDocument/2006/relationships/image" Target="media/image1.jpg"/><Relationship Id="rId15" Type="http://schemas.openxmlformats.org/officeDocument/2006/relationships/header" Target="header9.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6928</Words>
  <Characters>38109</Characters>
  <Application>Microsoft Office Word</Application>
  <DocSecurity>0</DocSecurity>
  <Lines>317</Lines>
  <Paragraphs>89</Paragraphs>
  <ScaleCrop>false</ScaleCrop>
  <Company/>
  <LinksUpToDate>false</LinksUpToDate>
  <CharactersWithSpaces>44948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Rocio</dc:creator>
  <cp:keywords/>
  <dc:description/>
  <cp:lastModifiedBy>Rocio</cp:lastModifiedBy>
  <cp:revision>1</cp:revision>
  <dcterms:created xsi:type="dcterms:W3CDTF">2021-05-12T21:10:00Z</dcterms:created>
  <dcterms:modified xsi:type="dcterms:W3CDTF">2021-05-12T21:10:00Z</dcterms:modified>
</cp:coreProperties>
</file>